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120" w:line="240" w:lineRule="auto"/>
        <w:jc w:val="center"/>
        <w:rPr>
          <w:b/>
          <w:sz w:val="28"/>
        </w:rPr>
      </w:pPr>
      <w:r>
        <w:rPr>
          <w:b/>
          <w:sz w:val="28"/>
        </w:rPr>
        <w:t>Medienkonzeptentwicklung: Checkliste und Projektplanung</w:t>
      </w:r>
    </w:p>
    <w:p>
      <w:pPr>
        <w:spacing w:line="276" w:lineRule="auto"/>
        <w:jc w:val="center"/>
        <w:rPr>
          <w:i/>
        </w:rPr>
      </w:pPr>
      <w:r>
        <w:rPr>
          <w:i/>
        </w:rPr>
        <w:t xml:space="preserve">(für </w:t>
      </w:r>
      <w:r>
        <w:rPr>
          <w:i/>
        </w:rPr>
        <w:t>Berufskollegs</w:t>
      </w:r>
      <w:r>
        <w:rPr>
          <w:i/>
        </w:rPr>
        <w:t>)</w:t>
      </w:r>
    </w:p>
    <w:p>
      <w:pPr>
        <w:spacing w:after="120" w:line="276" w:lineRule="auto"/>
        <w:jc w:val="both"/>
        <w:rPr>
          <w:sz w:val="22"/>
        </w:rPr>
      </w:pPr>
      <w:r>
        <w:rPr>
          <w:sz w:val="22"/>
        </w:rPr>
        <w:t>Die angebotenen Materialien dienen der praktischen Unterstützung der schulischen Medienkonzeptarbeit. Sie folgen gängigen Qualitätszirkeln für Schulentwicklungsprozesse, wie sie etwa die QUA-LiS nutzt:</w:t>
      </w:r>
    </w:p>
    <w:p>
      <w:pPr>
        <w:spacing w:after="120" w:line="240" w:lineRule="auto"/>
        <w:jc w:val="both"/>
        <w:rPr>
          <w:sz w:val="22"/>
        </w:rPr>
      </w:pPr>
      <w:r>
        <w:rPr>
          <w:noProof/>
          <w:sz w:val="22"/>
          <w:lang w:eastAsia="de-DE"/>
        </w:rPr>
        <w:drawing>
          <wp:inline distT="0" distB="0" distL="0" distR="0">
            <wp:extent cx="5760720" cy="392620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reislauf.jpg"/>
                    <pic:cNvPicPr/>
                  </pic:nvPicPr>
                  <pic:blipFill>
                    <a:blip r:embed="rId5">
                      <a:extLst>
                        <a:ext uri="{28A0092B-C50C-407E-A947-70E740481C1C}">
                          <a14:useLocalDpi xmlns:a14="http://schemas.microsoft.com/office/drawing/2010/main" val="0"/>
                        </a:ext>
                      </a:extLst>
                    </a:blip>
                    <a:stretch>
                      <a:fillRect/>
                    </a:stretch>
                  </pic:blipFill>
                  <pic:spPr>
                    <a:xfrm>
                      <a:off x="0" y="0"/>
                      <a:ext cx="5760720" cy="3926205"/>
                    </a:xfrm>
                    <a:prstGeom prst="rect">
                      <a:avLst/>
                    </a:prstGeom>
                  </pic:spPr>
                </pic:pic>
              </a:graphicData>
            </a:graphic>
          </wp:inline>
        </w:drawing>
      </w:r>
    </w:p>
    <w:p>
      <w:pPr>
        <w:spacing w:after="120" w:line="240" w:lineRule="auto"/>
        <w:jc w:val="center"/>
        <w:rPr>
          <w:sz w:val="18"/>
        </w:rPr>
      </w:pPr>
      <w:r>
        <w:rPr>
          <w:sz w:val="18"/>
        </w:rPr>
        <w:t xml:space="preserve">(Quelle: </w:t>
      </w:r>
      <w:hyperlink r:id="rId6" w:history="1">
        <w:r>
          <w:rPr>
            <w:rStyle w:val="Hyperlink"/>
            <w:sz w:val="18"/>
          </w:rPr>
          <w:t>https://www.schulentwicklung.nrw.de/q/ganztag/struktur-und-organisation/vernetzte-ganztagsschule/vernetzung-in-den-sozialraum/qualitaetszirkel.html</w:t>
        </w:r>
      </w:hyperlink>
      <w:r>
        <w:rPr>
          <w:sz w:val="18"/>
        </w:rPr>
        <w:t xml:space="preserve"> )</w:t>
      </w:r>
    </w:p>
    <w:p>
      <w:pPr>
        <w:spacing w:before="240" w:line="276" w:lineRule="auto"/>
        <w:jc w:val="both"/>
        <w:rPr>
          <w:iCs/>
          <w:sz w:val="22"/>
        </w:rPr>
      </w:pPr>
      <w:r>
        <w:rPr>
          <w:sz w:val="22"/>
        </w:rPr>
        <w:t xml:space="preserve">Die Checkliste folgt den Ausführungen der Handreichung „Unterstützungs- und Vernetzungsstrukturen zur Aktualisierung schulischer Medienkonzepte“ der Bezirksregierung Düsseldorf </w:t>
      </w:r>
      <w:r>
        <w:rPr>
          <w:iCs/>
          <w:sz w:val="22"/>
        </w:rPr>
        <w:t>(vgl. BR MS, 2020, S. 57f.). Sie kann individuell angepasst und ergänzt werden.</w:t>
      </w:r>
    </w:p>
    <w:p>
      <w:pPr>
        <w:spacing w:after="120" w:line="276" w:lineRule="auto"/>
        <w:jc w:val="both"/>
        <w:rPr>
          <w:iCs/>
          <w:sz w:val="22"/>
        </w:rPr>
      </w:pPr>
      <w:r>
        <w:rPr>
          <w:iCs/>
          <w:sz w:val="22"/>
        </w:rPr>
        <w:t xml:space="preserve">Die Projektplanung ist ein Angebot, um einen komplexen Prozess zu organisieren und über die Visualisierung allen Projektbeteiligten (i.d.R. einem ganzen Kollegium) transparent zu machen. Es handelt sich hier lediglich um ein erstes Arbeitsgerüst, das individuell mit konkreten Aufgaben und Zeiträumen zu füllen ist. Auch Vereinbarungen zu verwendeten Symbolen oder Eintragungen sind vor der sinnvollen Nutzung zu treffen. </w:t>
      </w:r>
    </w:p>
    <w:p>
      <w:pPr>
        <w:spacing w:line="276" w:lineRule="auto"/>
        <w:jc w:val="both"/>
        <w:rPr>
          <w:iCs/>
          <w:sz w:val="22"/>
        </w:rPr>
      </w:pPr>
      <w:r>
        <w:rPr>
          <w:iCs/>
          <w:sz w:val="22"/>
        </w:rPr>
        <w:t xml:space="preserve">Auf komplexere Planungstools, die sich für schulische Zusammenhänge eignen, verweist etwa der </w:t>
      </w:r>
      <w:hyperlink r:id="rId7" w:history="1">
        <w:r>
          <w:rPr>
            <w:rStyle w:val="Hyperlink"/>
            <w:iCs/>
            <w:sz w:val="22"/>
          </w:rPr>
          <w:t>Lehrerfortbildungsserver Baden-Württemberg</w:t>
        </w:r>
      </w:hyperlink>
      <w:r>
        <w:rPr>
          <w:iCs/>
          <w:sz w:val="22"/>
        </w:rPr>
        <w:t>.</w:t>
      </w:r>
    </w:p>
    <w:p>
      <w:pPr>
        <w:spacing w:after="120" w:line="276" w:lineRule="auto"/>
        <w:jc w:val="both"/>
        <w:rPr>
          <w:iCs/>
          <w:sz w:val="22"/>
        </w:rPr>
        <w:sectPr>
          <w:pgSz w:w="11906" w:h="16838"/>
          <w:pgMar w:top="1134" w:right="1418" w:bottom="1134" w:left="1418" w:header="709" w:footer="709" w:gutter="0"/>
          <w:cols w:space="708"/>
          <w:docGrid w:linePitch="360"/>
        </w:sectPr>
      </w:pPr>
      <w:r>
        <w:rPr>
          <w:iCs/>
          <w:sz w:val="22"/>
        </w:rPr>
        <w:t xml:space="preserve">Beide Vorlagen sind vor dem Hintergrund des Strukturvorschlages für Medienkonzepte (Arbeitshilfe 1) zu lesen. Weiterführende Hinweise zu den Standardsetzungen im Bereich des Lehrens und Lernens in der digitalen Welt bieten der </w:t>
      </w:r>
      <w:hyperlink r:id="rId8" w:history="1">
        <w:r>
          <w:rPr>
            <w:rStyle w:val="Hyperlink"/>
            <w:iCs/>
            <w:sz w:val="22"/>
          </w:rPr>
          <w:t>Referenzrahmen Schulqualität NRW</w:t>
        </w:r>
      </w:hyperlink>
      <w:r>
        <w:rPr>
          <w:iCs/>
          <w:sz w:val="22"/>
        </w:rPr>
        <w:t xml:space="preserve"> (dort: Dimension 2.10, S. 46ff.) und der entsprechende Bereich des zugehörigen </w:t>
      </w:r>
      <w:hyperlink r:id="rId9" w:history="1">
        <w:r>
          <w:rPr>
            <w:rStyle w:val="Hyperlink"/>
            <w:iCs/>
            <w:sz w:val="22"/>
          </w:rPr>
          <w:t>Unterstützungsportals</w:t>
        </w:r>
      </w:hyperlink>
      <w:r>
        <w:rPr>
          <w:iCs/>
          <w:sz w:val="22"/>
        </w:rPr>
        <w:t xml:space="preserve"> an. Dort sind etwa Reflexionsbögen für Schulleitungen, Lehrkräfte und Schüler*innen zu den relevanten Kriterien der Schul- und Unterrichtsentwicklung abgelegt, die in Ergänzung zu dieser Checkliste hilfreich sein können. </w:t>
      </w: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tcBorders>
              <w:bottom w:val="single" w:sz="4" w:space="0" w:color="auto"/>
            </w:tcBorders>
            <w:shd w:val="clear" w:color="auto" w:fill="A6A6A6" w:themeFill="background1" w:themeFillShade="A6"/>
          </w:tcPr>
          <w:p>
            <w:pPr>
              <w:jc w:val="center"/>
              <w:rPr>
                <w:b/>
                <w:iCs/>
                <w:sz w:val="22"/>
              </w:rPr>
            </w:pPr>
            <w:r>
              <w:rPr>
                <w:b/>
                <w:iCs/>
                <w:sz w:val="22"/>
              </w:rPr>
              <w:lastRenderedPageBreak/>
              <w:t>Checkliste für die Medienkonzeptentwicklung</w:t>
            </w:r>
          </w:p>
        </w:tc>
      </w:tr>
      <w:tr>
        <w:tc>
          <w:tcPr>
            <w:tcW w:w="14170" w:type="dxa"/>
            <w:gridSpan w:val="4"/>
            <w:shd w:val="clear" w:color="auto" w:fill="D9D9D9" w:themeFill="background1" w:themeFillShade="D9"/>
          </w:tcPr>
          <w:p>
            <w:pPr>
              <w:jc w:val="center"/>
              <w:rPr>
                <w:b/>
                <w:i/>
                <w:iCs/>
                <w:sz w:val="22"/>
              </w:rPr>
            </w:pPr>
            <w:r>
              <w:rPr>
                <w:b/>
                <w:i/>
                <w:sz w:val="22"/>
              </w:rPr>
              <w:t>Organisationsentwicklung und die Prozessgestaltung I (OE)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tcPr>
          <w:p>
            <w:pPr>
              <w:rPr>
                <w:iCs/>
                <w:sz w:val="22"/>
              </w:rPr>
            </w:pPr>
          </w:p>
        </w:tc>
        <w:tc>
          <w:tcPr>
            <w:tcW w:w="6946" w:type="dxa"/>
            <w:vAlign w:val="center"/>
          </w:tcPr>
          <w:p>
            <w:pPr>
              <w:rPr>
                <w:b/>
                <w:iCs/>
                <w:sz w:val="22"/>
              </w:rPr>
            </w:pPr>
            <w:r>
              <w:rPr>
                <w:b/>
                <w:sz w:val="22"/>
              </w:rPr>
              <w:t>Die innerschulische Rollenverteilung kennen/klären</w:t>
            </w:r>
          </w:p>
        </w:tc>
        <w:tc>
          <w:tcPr>
            <w:tcW w:w="3402" w:type="dxa"/>
          </w:tcPr>
          <w:p>
            <w:pPr>
              <w:rPr>
                <w:iCs/>
                <w:sz w:val="22"/>
              </w:rPr>
            </w:pPr>
          </w:p>
        </w:tc>
        <w:tc>
          <w:tcPr>
            <w:tcW w:w="2976" w:type="dxa"/>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Schulische Ausgangslage zur Prozessinitiierung erfassen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Vorhandene Steuerungsstruktur</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Zusammenarbeit mit dem Schulträger</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Ausstattungs-/Mittelbereitstellung durch den Schulträger</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Ausstattung, IT-Grundstruktur und Netzanbindung</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Derzeitige Kenntnisse und Fortbildungsstand des Kollegiums</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Entwicklungsstand von Schulprogramm, Medienkonzept und schulischen Lehrplänen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Kooperation innerschulisch, außerschulisch und mit Nachbarschulen/Schulformen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sz w:val="22"/>
              </w:rPr>
            </w:pPr>
            <w:r>
              <w:rPr>
                <w:b/>
                <w:sz w:val="22"/>
              </w:rPr>
              <w:t>Zielperspektive(n) für das Medienkonzept entwickeln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Eine Auftaktveranstaltung durchführen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Setzung von Verbindlichkeiten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Konkrete Maßnahmen/Priorisierung</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Transparenz in allen Gremien (Fachkonferenz, Lehrerkonferenz, Schulkonferenz, etc.)</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iCs/>
                <w:sz w:val="22"/>
              </w:rPr>
            </w:pPr>
            <w:r>
              <w:rPr>
                <w:sz w:val="22"/>
              </w:rPr>
              <w:t>Erstellung eines zeitlich-organisatorisch-inhaltlichen Ablaufplans</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Umsetzung von Teilschritten und Teilzielen steuern</w:t>
            </w:r>
          </w:p>
        </w:tc>
        <w:tc>
          <w:tcPr>
            <w:tcW w:w="3402" w:type="dxa"/>
            <w:vAlign w:val="center"/>
          </w:tcPr>
          <w:p>
            <w:pPr>
              <w:rPr>
                <w:iCs/>
                <w:sz w:val="22"/>
              </w:rPr>
            </w:pPr>
          </w:p>
        </w:tc>
        <w:tc>
          <w:tcPr>
            <w:tcW w:w="2976" w:type="dxa"/>
            <w:vAlign w:val="center"/>
          </w:tcPr>
          <w:p>
            <w:pPr>
              <w:rPr>
                <w:iCs/>
                <w:sz w:val="22"/>
              </w:rPr>
            </w:pPr>
          </w:p>
        </w:tc>
      </w:tr>
    </w:tbl>
    <w:p>
      <w:pPr>
        <w:rPr>
          <w:iCs/>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Unterrichtsentwicklung (UE)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sz w:val="22"/>
              </w:rPr>
              <w:t>Bewusstmachen der pädagogischen Haltung zur Thematik</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Chancen für übergreifende Themen des Lehrens und Lernens</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tcBorders>
              <w:bottom w:val="single" w:sz="4" w:space="0" w:color="auto"/>
            </w:tcBorders>
            <w:vAlign w:val="center"/>
          </w:tcPr>
          <w:p>
            <w:pPr>
              <w:rPr>
                <w:b/>
                <w:iCs/>
                <w:sz w:val="22"/>
              </w:rPr>
            </w:pPr>
            <w:r>
              <w:rPr>
                <w:sz w:val="22"/>
              </w:rPr>
              <w:t>Mitdenken der fachlichen und überfachlichen Dimensionen von Bildung in der digitalen Welt</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shd w:val="clear" w:color="auto" w:fill="auto"/>
            <w:vAlign w:val="center"/>
          </w:tcPr>
          <w:p>
            <w:pPr>
              <w:rPr>
                <w:b/>
                <w:iCs/>
                <w:sz w:val="22"/>
              </w:rPr>
            </w:pPr>
            <w:r>
              <w:rPr>
                <w:sz w:val="22"/>
              </w:rPr>
              <w:t>Identifikation digitaler Schlüsselkompetenzen (Medienkompetenz, Anwendungs-Know-how und informatische Grundkenntnisse) und Integration in die Lern-/Anforderungssituationen in der didaktischen Jahresplanung</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Pädagogisches Grundkonzept für grundlegende Anforderungen an z.B. Gebäudeinfrastruktur und pädagogisches Netz</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Schaffen von verbindlichen Regeln für den Umgang mit digitaler Ausstattung, IT-Grundstruktur und dem Zugang zum Internet (z</w:t>
            </w:r>
            <w:bookmarkStart w:id="0" w:name="_GoBack"/>
            <w:bookmarkEnd w:id="0"/>
            <w:r>
              <w:rPr>
                <w:sz w:val="22"/>
              </w:rPr>
              <w:t>.B. Nutzungsvereinbarungen)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sz w:val="22"/>
              </w:rPr>
              <w:t>Arbeit in den Fachkonferenzen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Erstellen einer Ausstattungsplanung, die alle Dimensionen der schulischen Arbeit und alle Fächerbezüge berücksichtigt (s. TE)</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Personalentwicklung (PE)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sz w:val="22"/>
              </w:rPr>
              <w:t>Ermittelte Fortbildungsbedarfe (s. OE) strukturieren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Vereinbarungen zur Weiterqualifizierung der beauftragten Personen/Lehrkräfte</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Kommunal-staatliche und Third-Party Unterstützungsangebote sichten und Kooperationen aufbauen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Schulaufsicht als Beraterin mitdenken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 xml:space="preserve">Kooperationsentwicklung Schulträger: Implementation von Ausstattung, Support und Wartung im technisch-pädagogischen Konzept verbindlich vereinbaren </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Kooperationsentwicklung (KE)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b/>
                <w:sz w:val="22"/>
              </w:rPr>
              <w:t>Kooperationsentwicklung mit dem Schulträger vorantreiben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Dokumentations- und Anforderungsbeschreibung für den technisch-pädagogischen Teil des Medienkonzepts mit dem Schulträger erarbeiten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Durch den Schulträger bereitgestellten pädagogische Dienste klären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Implementationsprozess (z.B. Anwenderschulungen) für bereitgestellte Ausstattung mit dem Schulträger verbindlich abstimmen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Supportvereinbarungen (störungsfreier Betrieb) mit dem Schulträger verbindlich festlegen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sz w:val="22"/>
              </w:rPr>
            </w:pPr>
            <w:r>
              <w:rPr>
                <w:b/>
                <w:sz w:val="22"/>
              </w:rPr>
              <w:t>Kooperationsentwicklung kommunal-staatlich/Third-Party: Unterstützungsstrukturen nutzen</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Technologieentwicklung (TE)</w:t>
            </w:r>
          </w:p>
        </w:tc>
      </w:tr>
      <w:tr>
        <w:tc>
          <w:tcPr>
            <w:tcW w:w="846" w:type="dxa"/>
          </w:tcPr>
          <w:p>
            <w:pPr>
              <w:jc w:val="both"/>
              <w:rPr>
                <w:i/>
                <w:iCs/>
                <w:sz w:val="22"/>
              </w:rPr>
            </w:pPr>
            <w:r>
              <w:rPr>
                <w:i/>
                <w:iCs/>
                <w:sz w:val="22"/>
              </w:rPr>
              <w:lastRenderedPageBreak/>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Cs/>
                <w:sz w:val="22"/>
              </w:rPr>
            </w:pPr>
          </w:p>
        </w:tc>
        <w:tc>
          <w:tcPr>
            <w:tcW w:w="6946" w:type="dxa"/>
            <w:vAlign w:val="center"/>
          </w:tcPr>
          <w:p>
            <w:pPr>
              <w:rPr>
                <w:b/>
                <w:iCs/>
                <w:sz w:val="22"/>
              </w:rPr>
            </w:pPr>
            <w:r>
              <w:rPr>
                <w:sz w:val="22"/>
              </w:rPr>
              <w:t>Ausstattungsplanung / MEP</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Technisch-pädagogisches Einsatzkonzept</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Organisation und Umsetzung der Ausstattungsplanung (s. KE)</w:t>
            </w:r>
          </w:p>
        </w:tc>
        <w:tc>
          <w:tcPr>
            <w:tcW w:w="3402" w:type="dxa"/>
            <w:vAlign w:val="center"/>
          </w:tcPr>
          <w:p>
            <w:pPr>
              <w:rPr>
                <w:iCs/>
                <w:sz w:val="22"/>
              </w:rPr>
            </w:pPr>
          </w:p>
        </w:tc>
        <w:tc>
          <w:tcPr>
            <w:tcW w:w="2976" w:type="dxa"/>
            <w:vAlign w:val="center"/>
          </w:tcPr>
          <w:p>
            <w:pPr>
              <w:rPr>
                <w:iCs/>
                <w:sz w:val="22"/>
              </w:rPr>
            </w:pPr>
          </w:p>
        </w:tc>
      </w:tr>
    </w:tbl>
    <w:p>
      <w:pPr>
        <w:jc w:val="both"/>
        <w:rPr>
          <w:sz w:val="22"/>
        </w:rPr>
      </w:pPr>
    </w:p>
    <w:tbl>
      <w:tblPr>
        <w:tblStyle w:val="Tabellenraster"/>
        <w:tblW w:w="0" w:type="auto"/>
        <w:tblLook w:val="04A0" w:firstRow="1" w:lastRow="0" w:firstColumn="1" w:lastColumn="0" w:noHBand="0" w:noVBand="1"/>
      </w:tblPr>
      <w:tblGrid>
        <w:gridCol w:w="846"/>
        <w:gridCol w:w="6946"/>
        <w:gridCol w:w="3402"/>
        <w:gridCol w:w="2976"/>
      </w:tblGrid>
      <w:tr>
        <w:tc>
          <w:tcPr>
            <w:tcW w:w="14170" w:type="dxa"/>
            <w:gridSpan w:val="4"/>
            <w:shd w:val="clear" w:color="auto" w:fill="D9D9D9" w:themeFill="background1" w:themeFillShade="D9"/>
          </w:tcPr>
          <w:p>
            <w:pPr>
              <w:jc w:val="center"/>
              <w:rPr>
                <w:b/>
                <w:i/>
                <w:iCs/>
                <w:sz w:val="22"/>
              </w:rPr>
            </w:pPr>
            <w:r>
              <w:rPr>
                <w:b/>
                <w:i/>
                <w:sz w:val="22"/>
              </w:rPr>
              <w:t>Organisationsentwicklung und die Prozessgestaltung II (OE)</w:t>
            </w:r>
          </w:p>
        </w:tc>
      </w:tr>
      <w:tr>
        <w:tc>
          <w:tcPr>
            <w:tcW w:w="846" w:type="dxa"/>
          </w:tcPr>
          <w:p>
            <w:pPr>
              <w:jc w:val="both"/>
              <w:rPr>
                <w:i/>
                <w:iCs/>
                <w:sz w:val="22"/>
              </w:rPr>
            </w:pPr>
            <w:r>
              <w:rPr>
                <w:i/>
                <w:iCs/>
                <w:sz w:val="22"/>
              </w:rPr>
              <w:t>Check</w:t>
            </w:r>
          </w:p>
        </w:tc>
        <w:tc>
          <w:tcPr>
            <w:tcW w:w="6946" w:type="dxa"/>
          </w:tcPr>
          <w:p>
            <w:pPr>
              <w:jc w:val="both"/>
              <w:rPr>
                <w:i/>
                <w:iCs/>
                <w:sz w:val="22"/>
              </w:rPr>
            </w:pPr>
            <w:r>
              <w:rPr>
                <w:i/>
                <w:iCs/>
                <w:sz w:val="22"/>
              </w:rPr>
              <w:t>Aufgabe</w:t>
            </w:r>
          </w:p>
        </w:tc>
        <w:tc>
          <w:tcPr>
            <w:tcW w:w="3402" w:type="dxa"/>
          </w:tcPr>
          <w:p>
            <w:pPr>
              <w:jc w:val="both"/>
              <w:rPr>
                <w:i/>
                <w:iCs/>
                <w:sz w:val="22"/>
              </w:rPr>
            </w:pPr>
            <w:r>
              <w:rPr>
                <w:i/>
                <w:iCs/>
                <w:sz w:val="22"/>
              </w:rPr>
              <w:t>Zuständige</w:t>
            </w:r>
          </w:p>
        </w:tc>
        <w:tc>
          <w:tcPr>
            <w:tcW w:w="2976" w:type="dxa"/>
          </w:tcPr>
          <w:p>
            <w:pPr>
              <w:jc w:val="both"/>
              <w:rPr>
                <w:i/>
                <w:iCs/>
                <w:sz w:val="22"/>
              </w:rPr>
            </w:pPr>
            <w:r>
              <w:rPr>
                <w:i/>
                <w:iCs/>
                <w:sz w:val="22"/>
              </w:rPr>
              <w:t>Deadline</w:t>
            </w:r>
          </w:p>
        </w:tc>
      </w:tr>
      <w:tr>
        <w:trPr>
          <w:trHeight w:val="567"/>
        </w:trPr>
        <w:tc>
          <w:tcPr>
            <w:tcW w:w="846" w:type="dxa"/>
            <w:vAlign w:val="center"/>
          </w:tcPr>
          <w:p>
            <w:pPr>
              <w:rPr>
                <w:i/>
                <w:iCs/>
                <w:sz w:val="22"/>
              </w:rPr>
            </w:pPr>
          </w:p>
        </w:tc>
        <w:tc>
          <w:tcPr>
            <w:tcW w:w="6946" w:type="dxa"/>
            <w:vAlign w:val="center"/>
          </w:tcPr>
          <w:p>
            <w:pPr>
              <w:rPr>
                <w:b/>
                <w:iCs/>
                <w:sz w:val="22"/>
              </w:rPr>
            </w:pPr>
            <w:r>
              <w:rPr>
                <w:b/>
                <w:iCs/>
                <w:sz w:val="22"/>
              </w:rPr>
              <w:t>Die Umsetzung des Medienkonzeptes in der Unterrichtspraxis absichern</w:t>
            </w:r>
          </w:p>
        </w:tc>
        <w:tc>
          <w:tcPr>
            <w:tcW w:w="3402" w:type="dxa"/>
            <w:vAlign w:val="center"/>
          </w:tcPr>
          <w:p>
            <w:pPr>
              <w:rPr>
                <w:i/>
                <w:iCs/>
                <w:sz w:val="22"/>
              </w:rPr>
            </w:pPr>
          </w:p>
        </w:tc>
        <w:tc>
          <w:tcPr>
            <w:tcW w:w="2976" w:type="dxa"/>
            <w:vAlign w:val="center"/>
          </w:tcPr>
          <w:p>
            <w:pPr>
              <w:rPr>
                <w:i/>
                <w:iCs/>
                <w:sz w:val="22"/>
              </w:rPr>
            </w:pPr>
          </w:p>
        </w:tc>
      </w:tr>
      <w:tr>
        <w:trPr>
          <w:trHeight w:val="567"/>
        </w:trPr>
        <w:tc>
          <w:tcPr>
            <w:tcW w:w="846" w:type="dxa"/>
            <w:vAlign w:val="center"/>
          </w:tcPr>
          <w:p>
            <w:pPr>
              <w:rPr>
                <w:i/>
                <w:iCs/>
                <w:sz w:val="22"/>
              </w:rPr>
            </w:pPr>
          </w:p>
        </w:tc>
        <w:tc>
          <w:tcPr>
            <w:tcW w:w="6946" w:type="dxa"/>
            <w:vAlign w:val="center"/>
          </w:tcPr>
          <w:p>
            <w:pPr>
              <w:rPr>
                <w:iCs/>
                <w:sz w:val="22"/>
              </w:rPr>
            </w:pPr>
            <w:r>
              <w:rPr>
                <w:iCs/>
                <w:sz w:val="22"/>
              </w:rPr>
              <w:t xml:space="preserve">Zeitplanung: Erprobung – erster Umsetzungszyklus – Evaluation </w:t>
            </w:r>
          </w:p>
        </w:tc>
        <w:tc>
          <w:tcPr>
            <w:tcW w:w="3402" w:type="dxa"/>
            <w:vAlign w:val="center"/>
          </w:tcPr>
          <w:p>
            <w:pPr>
              <w:rPr>
                <w:i/>
                <w:iCs/>
                <w:sz w:val="22"/>
              </w:rPr>
            </w:pPr>
          </w:p>
        </w:tc>
        <w:tc>
          <w:tcPr>
            <w:tcW w:w="2976" w:type="dxa"/>
            <w:vAlign w:val="center"/>
          </w:tcPr>
          <w:p>
            <w:pPr>
              <w:rPr>
                <w:i/>
                <w:iCs/>
                <w:sz w:val="22"/>
              </w:rPr>
            </w:pPr>
          </w:p>
        </w:tc>
      </w:tr>
      <w:tr>
        <w:trPr>
          <w:trHeight w:val="567"/>
        </w:trPr>
        <w:tc>
          <w:tcPr>
            <w:tcW w:w="846" w:type="dxa"/>
            <w:vAlign w:val="center"/>
          </w:tcPr>
          <w:p>
            <w:pPr>
              <w:rPr>
                <w:iCs/>
                <w:sz w:val="22"/>
              </w:rPr>
            </w:pPr>
          </w:p>
        </w:tc>
        <w:tc>
          <w:tcPr>
            <w:tcW w:w="6946" w:type="dxa"/>
            <w:vAlign w:val="center"/>
          </w:tcPr>
          <w:p>
            <w:pPr>
              <w:rPr>
                <w:b/>
                <w:iCs/>
                <w:sz w:val="22"/>
              </w:rPr>
            </w:pPr>
            <w:r>
              <w:rPr>
                <w:b/>
                <w:sz w:val="22"/>
              </w:rPr>
              <w:t>Das Entwicklungsvorhaben evaluieren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Evaluationsergebnisse bewerten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sz w:val="22"/>
              </w:rPr>
            </w:pPr>
            <w:r>
              <w:rPr>
                <w:sz w:val="22"/>
              </w:rPr>
              <w:t>Konsequenzen aus den Ergebnissen entwickeln</w:t>
            </w:r>
          </w:p>
        </w:tc>
        <w:tc>
          <w:tcPr>
            <w:tcW w:w="3402" w:type="dxa"/>
            <w:vAlign w:val="center"/>
          </w:tcPr>
          <w:p>
            <w:pPr>
              <w:rPr>
                <w:iCs/>
                <w:sz w:val="22"/>
              </w:rPr>
            </w:pPr>
          </w:p>
        </w:tc>
        <w:tc>
          <w:tcPr>
            <w:tcW w:w="2976" w:type="dxa"/>
            <w:vAlign w:val="center"/>
          </w:tcPr>
          <w:p>
            <w:pPr>
              <w:rPr>
                <w:iCs/>
                <w:sz w:val="22"/>
              </w:rPr>
            </w:pPr>
          </w:p>
        </w:tc>
      </w:tr>
      <w:tr>
        <w:trPr>
          <w:trHeight w:val="567"/>
        </w:trPr>
        <w:tc>
          <w:tcPr>
            <w:tcW w:w="846" w:type="dxa"/>
            <w:vAlign w:val="center"/>
          </w:tcPr>
          <w:p>
            <w:pPr>
              <w:rPr>
                <w:iCs/>
                <w:sz w:val="22"/>
              </w:rPr>
            </w:pPr>
          </w:p>
        </w:tc>
        <w:tc>
          <w:tcPr>
            <w:tcW w:w="6946" w:type="dxa"/>
            <w:vAlign w:val="center"/>
          </w:tcPr>
          <w:p>
            <w:pPr>
              <w:rPr>
                <w:b/>
                <w:sz w:val="22"/>
              </w:rPr>
            </w:pPr>
            <w:r>
              <w:rPr>
                <w:b/>
                <w:sz w:val="22"/>
              </w:rPr>
              <w:t>Weiterentwicklung des Medienkonzeptes</w:t>
            </w:r>
          </w:p>
          <w:p>
            <w:pPr>
              <w:pStyle w:val="Listenabsatz"/>
              <w:numPr>
                <w:ilvl w:val="0"/>
                <w:numId w:val="1"/>
              </w:numPr>
              <w:ind w:left="458"/>
              <w:rPr>
                <w:i/>
                <w:sz w:val="22"/>
              </w:rPr>
            </w:pPr>
            <w:r>
              <w:rPr>
                <w:i/>
                <w:sz w:val="22"/>
              </w:rPr>
              <w:t>Entwicklungskreislauf beginnt von vorne</w:t>
            </w:r>
          </w:p>
        </w:tc>
        <w:tc>
          <w:tcPr>
            <w:tcW w:w="3402" w:type="dxa"/>
            <w:vAlign w:val="center"/>
          </w:tcPr>
          <w:p>
            <w:pPr>
              <w:rPr>
                <w:iCs/>
                <w:sz w:val="22"/>
              </w:rPr>
            </w:pPr>
          </w:p>
        </w:tc>
        <w:tc>
          <w:tcPr>
            <w:tcW w:w="2976" w:type="dxa"/>
            <w:vAlign w:val="center"/>
          </w:tcPr>
          <w:p>
            <w:pPr>
              <w:rPr>
                <w:iCs/>
                <w:sz w:val="22"/>
              </w:rPr>
            </w:pPr>
          </w:p>
        </w:tc>
      </w:tr>
    </w:tbl>
    <w:p>
      <w:pPr>
        <w:jc w:val="both"/>
        <w:rPr>
          <w:sz w:val="22"/>
        </w:rPr>
      </w:pPr>
    </w:p>
    <w:p>
      <w:pPr>
        <w:rPr>
          <w:sz w:val="22"/>
        </w:rPr>
      </w:pPr>
      <w:r>
        <w:rPr>
          <w:sz w:val="22"/>
        </w:rPr>
        <w:br w:type="page"/>
      </w:r>
    </w:p>
    <w:tbl>
      <w:tblPr>
        <w:tblStyle w:val="Tabellenraster"/>
        <w:tblpPr w:leftFromText="141" w:rightFromText="141" w:vertAnchor="page" w:horzAnchor="margin" w:tblpY="1399"/>
        <w:tblW w:w="0" w:type="auto"/>
        <w:tblLook w:val="04A0" w:firstRow="1" w:lastRow="0" w:firstColumn="1" w:lastColumn="0" w:noHBand="0" w:noVBand="1"/>
      </w:tblPr>
      <w:tblGrid>
        <w:gridCol w:w="4535"/>
        <w:gridCol w:w="1605"/>
        <w:gridCol w:w="1606"/>
        <w:gridCol w:w="1606"/>
        <w:gridCol w:w="1606"/>
        <w:gridCol w:w="1606"/>
        <w:gridCol w:w="1606"/>
      </w:tblGrid>
      <w:tr>
        <w:trPr>
          <w:trHeight w:val="567"/>
        </w:trPr>
        <w:tc>
          <w:tcPr>
            <w:tcW w:w="14170" w:type="dxa"/>
            <w:gridSpan w:val="7"/>
            <w:tcBorders>
              <w:bottom w:val="single" w:sz="4" w:space="0" w:color="auto"/>
            </w:tcBorders>
            <w:shd w:val="clear" w:color="auto" w:fill="0070C0"/>
            <w:vAlign w:val="center"/>
          </w:tcPr>
          <w:p>
            <w:pPr>
              <w:jc w:val="center"/>
              <w:rPr>
                <w:rFonts w:cs="Arial"/>
                <w:b/>
                <w:sz w:val="22"/>
              </w:rPr>
            </w:pPr>
            <w:r>
              <w:rPr>
                <w:rFonts w:cs="Arial"/>
                <w:b/>
                <w:color w:val="FFFFFF" w:themeColor="background1"/>
                <w:sz w:val="28"/>
              </w:rPr>
              <w:lastRenderedPageBreak/>
              <w:t>Entwicklung unseres Medienkonzeptes</w:t>
            </w:r>
          </w:p>
        </w:tc>
      </w:tr>
      <w:tr>
        <w:trPr>
          <w:trHeight w:val="402"/>
        </w:trPr>
        <w:tc>
          <w:tcPr>
            <w:tcW w:w="4535" w:type="dxa"/>
            <w:vMerge w:val="restart"/>
            <w:shd w:val="clear" w:color="auto" w:fill="808080" w:themeFill="background1" w:themeFillShade="80"/>
            <w:vAlign w:val="center"/>
          </w:tcPr>
          <w:p>
            <w:pPr>
              <w:jc w:val="right"/>
              <w:rPr>
                <w:rFonts w:cs="Arial"/>
                <w:color w:val="FFFFFF" w:themeColor="background1"/>
                <w:sz w:val="22"/>
              </w:rPr>
            </w:pPr>
            <w:r>
              <w:rPr>
                <w:rFonts w:cs="Arial"/>
                <w:color w:val="FFFFFF" w:themeColor="background1"/>
                <w:sz w:val="22"/>
              </w:rPr>
              <w:t>Zeiten und</w:t>
            </w:r>
          </w:p>
          <w:p>
            <w:pPr>
              <w:jc w:val="right"/>
              <w:rPr>
                <w:rFonts w:cs="Arial"/>
                <w:color w:val="FFFFFF" w:themeColor="background1"/>
                <w:sz w:val="22"/>
              </w:rPr>
            </w:pPr>
            <w:r>
              <w:rPr>
                <w:rFonts w:cs="Arial"/>
                <w:color w:val="FFFFFF" w:themeColor="background1"/>
                <w:sz w:val="22"/>
              </w:rPr>
              <w:t>Meilensteine</w:t>
            </w:r>
          </w:p>
        </w:tc>
        <w:tc>
          <w:tcPr>
            <w:tcW w:w="4817"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1. Quartal</w:t>
            </w:r>
          </w:p>
        </w:tc>
        <w:tc>
          <w:tcPr>
            <w:tcW w:w="4818"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2. Quartal</w:t>
            </w:r>
          </w:p>
        </w:tc>
      </w:tr>
      <w:tr>
        <w:trPr>
          <w:trHeight w:val="280"/>
        </w:trPr>
        <w:tc>
          <w:tcPr>
            <w:tcW w:w="4535" w:type="dxa"/>
            <w:vMerge/>
            <w:shd w:val="clear" w:color="auto" w:fill="808080" w:themeFill="background1" w:themeFillShade="80"/>
            <w:vAlign w:val="center"/>
          </w:tcPr>
          <w:p>
            <w:pPr>
              <w:jc w:val="right"/>
              <w:rPr>
                <w:rFonts w:cs="Arial"/>
                <w:color w:val="FFFFFF" w:themeColor="background1"/>
                <w:sz w:val="22"/>
              </w:rPr>
            </w:pPr>
          </w:p>
        </w:tc>
        <w:tc>
          <w:tcPr>
            <w:tcW w:w="1605"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August</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September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Oktober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November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Dezember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Januar</w:t>
            </w:r>
          </w:p>
        </w:tc>
      </w:tr>
      <w:tr>
        <w:trPr>
          <w:trHeight w:val="20"/>
        </w:trPr>
        <w:tc>
          <w:tcPr>
            <w:tcW w:w="4535" w:type="dxa"/>
            <w:tcBorders>
              <w:bottom w:val="single" w:sz="4" w:space="0" w:color="auto"/>
            </w:tcBorders>
            <w:shd w:val="clear" w:color="auto" w:fill="FFFFFF" w:themeFill="background1"/>
            <w:vAlign w:val="center"/>
          </w:tcPr>
          <w:p>
            <w:pPr>
              <w:rPr>
                <w:rFonts w:cs="Arial"/>
                <w:color w:val="F2F2F2" w:themeColor="background1" w:themeShade="F2"/>
                <w:sz w:val="22"/>
              </w:rPr>
            </w:pPr>
            <w:r>
              <w:rPr>
                <w:rFonts w:cs="Arial"/>
                <w:sz w:val="22"/>
              </w:rPr>
              <w:t>Teilprozesse und -aufgaben</w:t>
            </w:r>
          </w:p>
        </w:tc>
        <w:tc>
          <w:tcPr>
            <w:tcW w:w="1605"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r>
      <w:tr>
        <w:trPr>
          <w:trHeight w:val="482"/>
        </w:trPr>
        <w:tc>
          <w:tcPr>
            <w:tcW w:w="4535" w:type="dxa"/>
            <w:shd w:val="clear" w:color="auto" w:fill="BF8F00" w:themeFill="accent4" w:themeFillShade="BF"/>
            <w:vAlign w:val="center"/>
          </w:tcPr>
          <w:p>
            <w:pPr>
              <w:rPr>
                <w:rFonts w:cs="Arial"/>
                <w:sz w:val="22"/>
              </w:rPr>
            </w:pPr>
            <w:r>
              <w:rPr>
                <w:rFonts w:cs="Arial"/>
                <w:color w:val="F2F2F2" w:themeColor="background1" w:themeShade="F2"/>
                <w:sz w:val="22"/>
              </w:rPr>
              <w:t>Organisationsentwicklung (OE)</w:t>
            </w:r>
          </w:p>
        </w:tc>
        <w:tc>
          <w:tcPr>
            <w:tcW w:w="1605"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59264" behindDoc="0" locked="0" layoutInCell="1" allowOverlap="1">
                      <wp:simplePos x="0" y="0"/>
                      <wp:positionH relativeFrom="column">
                        <wp:posOffset>306705</wp:posOffset>
                      </wp:positionH>
                      <wp:positionV relativeFrom="page">
                        <wp:posOffset>94615</wp:posOffset>
                      </wp:positionV>
                      <wp:extent cx="1227455" cy="0"/>
                      <wp:effectExtent l="0" t="50800" r="29845" b="50800"/>
                      <wp:wrapNone/>
                      <wp:docPr id="5" name="Gerade Verbindung 5"/>
                      <wp:cNvGraphicFramePr/>
                      <a:graphic xmlns:a="http://schemas.openxmlformats.org/drawingml/2006/main">
                        <a:graphicData uri="http://schemas.microsoft.com/office/word/2010/wordprocessingShape">
                          <wps:wsp>
                            <wps:cNvCnPr/>
                            <wps:spPr>
                              <a:xfrm>
                                <a:off x="0" y="0"/>
                                <a:ext cx="1227455"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4.15pt,7.45pt" to="120.8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" strokecolor="#c45911 [2405]" strokeweight="8pt">
                      <v:stroke joinstyle="miter"/>
                      <w10:wrap anchory="page"/>
                    </v:line>
                  </w:pict>
                </mc:Fallback>
              </mc:AlternateContent>
            </w: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2</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60288" behindDoc="0" locked="0" layoutInCell="1" allowOverlap="1">
                      <wp:simplePos x="0" y="0"/>
                      <wp:positionH relativeFrom="column">
                        <wp:posOffset>-680720</wp:posOffset>
                      </wp:positionH>
                      <wp:positionV relativeFrom="page">
                        <wp:posOffset>145415</wp:posOffset>
                      </wp:positionV>
                      <wp:extent cx="1227455" cy="0"/>
                      <wp:effectExtent l="0" t="50800" r="29845" b="50800"/>
                      <wp:wrapNone/>
                      <wp:docPr id="7" name="Gerade Verbindung 7"/>
                      <wp:cNvGraphicFramePr/>
                      <a:graphic xmlns:a="http://schemas.openxmlformats.org/drawingml/2006/main">
                        <a:graphicData uri="http://schemas.microsoft.com/office/word/2010/wordprocessingShape">
                          <wps:wsp>
                            <wps:cNvCnPr/>
                            <wps:spPr>
                              <a:xfrm>
                                <a:off x="0" y="0"/>
                                <a:ext cx="1227455"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53.6pt,11.45pt" to="43.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" strokecolor="#c45911 [2405]" strokeweight="8pt">
                      <v:stroke joinstyle="miter"/>
                      <w10:wrap anchory="page"/>
                    </v:line>
                  </w:pict>
                </mc:Fallback>
              </mc:AlternateContent>
            </w:r>
            <w:r>
              <w:rPr>
                <w:rFonts w:cs="Arial"/>
                <w:noProof/>
                <w:sz w:val="22"/>
                <w:lang w:eastAsia="de-DE"/>
              </w:rPr>
              <mc:AlternateContent>
                <mc:Choice Requires="wps">
                  <w:drawing>
                    <wp:anchor distT="0" distB="0" distL="114300" distR="114300" simplePos="0" relativeHeight="251661312" behindDoc="0" locked="0" layoutInCell="1" allowOverlap="1">
                      <wp:simplePos x="0" y="0"/>
                      <wp:positionH relativeFrom="column">
                        <wp:posOffset>574040</wp:posOffset>
                      </wp:positionH>
                      <wp:positionV relativeFrom="page">
                        <wp:posOffset>19050</wp:posOffset>
                      </wp:positionV>
                      <wp:extent cx="278130" cy="267970"/>
                      <wp:effectExtent l="0" t="0" r="1270" b="0"/>
                      <wp:wrapNone/>
                      <wp:docPr id="8" name="Verzweigung 8"/>
                      <wp:cNvGraphicFramePr/>
                      <a:graphic xmlns:a="http://schemas.openxmlformats.org/drawingml/2006/main">
                        <a:graphicData uri="http://schemas.microsoft.com/office/word/2010/wordprocessingShape">
                          <wps:wsp>
                            <wps:cNvSpPr/>
                            <wps:spPr>
                              <a:xfrm>
                                <a:off x="0" y="0"/>
                                <a:ext cx="278130" cy="267970"/>
                              </a:xfrm>
                              <a:prstGeom prst="flowChartDecision">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Verzweigung 8" o:spid="_x0000_s1026" type="#_x0000_t110" style="position:absolute;margin-left:45.2pt;margin-top:1.5pt;width:21.9pt;height:2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" fillcolor="#c45911 [2405]" stroked="f" strokeweight="1pt">
                      <w10:wrap anchory="page"/>
                    </v:shape>
                  </w:pict>
                </mc:Fallback>
              </mc:AlternateContent>
            </w: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shd w:val="clear" w:color="auto" w:fill="538135" w:themeFill="accent6" w:themeFillShade="BF"/>
            <w:vAlign w:val="center"/>
          </w:tcPr>
          <w:p>
            <w:pPr>
              <w:rPr>
                <w:rFonts w:cs="Arial"/>
                <w:sz w:val="22"/>
              </w:rPr>
            </w:pPr>
            <w:r>
              <w:rPr>
                <w:rFonts w:cs="Arial"/>
                <w:color w:val="FFFFFF" w:themeColor="background1"/>
                <w:sz w:val="22"/>
              </w:rPr>
              <w:t>Unterrichtsentwicklung (UE)</w:t>
            </w:r>
          </w:p>
        </w:tc>
        <w:tc>
          <w:tcPr>
            <w:tcW w:w="1605"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62336" behindDoc="0" locked="0" layoutInCell="1" allowOverlap="1">
                      <wp:simplePos x="0" y="0"/>
                      <wp:positionH relativeFrom="column">
                        <wp:posOffset>23495</wp:posOffset>
                      </wp:positionH>
                      <wp:positionV relativeFrom="page">
                        <wp:posOffset>62230</wp:posOffset>
                      </wp:positionV>
                      <wp:extent cx="1363980" cy="0"/>
                      <wp:effectExtent l="0" t="38100" r="64770" b="57150"/>
                      <wp:wrapNone/>
                      <wp:docPr id="9" name="Gerade Verbindung 9"/>
                      <wp:cNvGraphicFramePr/>
                      <a:graphic xmlns:a="http://schemas.openxmlformats.org/drawingml/2006/main">
                        <a:graphicData uri="http://schemas.microsoft.com/office/word/2010/wordprocessingShape">
                          <wps:wsp>
                            <wps:cNvCnPr/>
                            <wps:spPr>
                              <a:xfrm flipV="1">
                                <a:off x="0" y="0"/>
                                <a:ext cx="1363980"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9"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85pt,4.9pt" to="109.2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" strokecolor="#c45911 [2405]" strokeweight="8pt">
                      <v:stroke joinstyle="miter"/>
                      <w10:wrap anchory="page"/>
                    </v:line>
                  </w:pict>
                </mc:Fallback>
              </mc:AlternateContent>
            </w: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2</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C45911" w:themeFill="accent2" w:themeFillShade="BF"/>
            <w:vAlign w:val="center"/>
          </w:tcPr>
          <w:p>
            <w:pPr>
              <w:rPr>
                <w:rFonts w:cs="Arial"/>
                <w:color w:val="FFFFFF" w:themeColor="background1"/>
                <w:sz w:val="22"/>
              </w:rPr>
            </w:pPr>
            <w:r>
              <w:rPr>
                <w:rFonts w:cs="Arial"/>
                <w:color w:val="F2F2F2" w:themeColor="background1" w:themeShade="F2"/>
                <w:sz w:val="22"/>
              </w:rPr>
              <w:t>Personalentwicklung (PE)</w:t>
            </w:r>
          </w:p>
        </w:tc>
        <w:tc>
          <w:tcPr>
            <w:tcW w:w="1605"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r>
              <w:rPr>
                <w:rFonts w:cs="Arial"/>
                <w:noProof/>
                <w:sz w:val="22"/>
                <w:lang w:eastAsia="de-DE"/>
              </w:rPr>
              <mc:AlternateContent>
                <mc:Choice Requires="wps">
                  <w:drawing>
                    <wp:anchor distT="0" distB="0" distL="114300" distR="114300" simplePos="0" relativeHeight="251663360" behindDoc="0" locked="0" layoutInCell="1" allowOverlap="1">
                      <wp:simplePos x="0" y="0"/>
                      <wp:positionH relativeFrom="column">
                        <wp:posOffset>38735</wp:posOffset>
                      </wp:positionH>
                      <wp:positionV relativeFrom="page">
                        <wp:posOffset>88900</wp:posOffset>
                      </wp:positionV>
                      <wp:extent cx="2842260" cy="0"/>
                      <wp:effectExtent l="0" t="38100" r="53340" b="57150"/>
                      <wp:wrapNone/>
                      <wp:docPr id="11" name="Gerade Verbindung 11"/>
                      <wp:cNvGraphicFramePr/>
                      <a:graphic xmlns:a="http://schemas.openxmlformats.org/drawingml/2006/main">
                        <a:graphicData uri="http://schemas.microsoft.com/office/word/2010/wordprocessingShape">
                          <wps:wsp>
                            <wps:cNvCnPr/>
                            <wps:spPr>
                              <a:xfrm flipV="1">
                                <a:off x="0" y="0"/>
                                <a:ext cx="2842260" cy="0"/>
                              </a:xfrm>
                              <a:prstGeom prst="line">
                                <a:avLst/>
                              </a:prstGeom>
                              <a:ln w="1016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1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05pt,7pt" to="226.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" strokecolor="#c45911 [2405]" strokeweight="8pt">
                      <v:stroke joinstyle="miter"/>
                      <w10:wrap anchory="page"/>
                    </v:line>
                  </w:pict>
                </mc:Fallback>
              </mc:AlternateContent>
            </w: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2</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FFC000" w:themeFill="accent4"/>
            <w:vAlign w:val="center"/>
          </w:tcPr>
          <w:p>
            <w:pPr>
              <w:rPr>
                <w:rFonts w:cs="Arial"/>
                <w:color w:val="FFFFFF" w:themeColor="background1"/>
                <w:sz w:val="22"/>
              </w:rPr>
            </w:pPr>
            <w:r>
              <w:rPr>
                <w:rFonts w:cs="Arial"/>
                <w:color w:val="FFFFFF" w:themeColor="background1"/>
                <w:sz w:val="22"/>
              </w:rPr>
              <w:t>Kooperationsentwicklung (KE)</w:t>
            </w:r>
          </w:p>
        </w:tc>
        <w:tc>
          <w:tcPr>
            <w:tcW w:w="1605"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2</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00B0F0"/>
            <w:vAlign w:val="center"/>
          </w:tcPr>
          <w:p>
            <w:pPr>
              <w:ind w:left="34"/>
              <w:jc w:val="both"/>
              <w:rPr>
                <w:rFonts w:cs="Arial"/>
                <w:sz w:val="22"/>
              </w:rPr>
            </w:pPr>
            <w:r>
              <w:rPr>
                <w:rFonts w:cs="Arial"/>
                <w:color w:val="FFFFFF" w:themeColor="background1"/>
                <w:sz w:val="22"/>
              </w:rPr>
              <w:t>Technologieentwicklung (TE)</w:t>
            </w:r>
          </w:p>
        </w:tc>
        <w:tc>
          <w:tcPr>
            <w:tcW w:w="1605"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1</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2</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567"/>
        </w:trPr>
        <w:tc>
          <w:tcPr>
            <w:tcW w:w="14170" w:type="dxa"/>
            <w:gridSpan w:val="7"/>
            <w:tcBorders>
              <w:bottom w:val="single" w:sz="4" w:space="0" w:color="auto"/>
            </w:tcBorders>
            <w:shd w:val="clear" w:color="auto" w:fill="0070C0"/>
            <w:vAlign w:val="center"/>
          </w:tcPr>
          <w:p>
            <w:pPr>
              <w:jc w:val="center"/>
              <w:rPr>
                <w:rFonts w:cs="Arial"/>
                <w:b/>
                <w:sz w:val="22"/>
              </w:rPr>
            </w:pPr>
            <w:r>
              <w:rPr>
                <w:rFonts w:cs="Arial"/>
                <w:b/>
                <w:color w:val="FFFFFF" w:themeColor="background1"/>
                <w:sz w:val="28"/>
              </w:rPr>
              <w:lastRenderedPageBreak/>
              <w:t>Entwicklung unseres Medienkonzeptes</w:t>
            </w:r>
          </w:p>
        </w:tc>
      </w:tr>
      <w:tr>
        <w:trPr>
          <w:trHeight w:val="402"/>
        </w:trPr>
        <w:tc>
          <w:tcPr>
            <w:tcW w:w="4535" w:type="dxa"/>
            <w:vMerge w:val="restart"/>
            <w:shd w:val="clear" w:color="auto" w:fill="808080" w:themeFill="background1" w:themeFillShade="80"/>
            <w:vAlign w:val="center"/>
          </w:tcPr>
          <w:p>
            <w:pPr>
              <w:jc w:val="right"/>
              <w:rPr>
                <w:rFonts w:cs="Arial"/>
                <w:color w:val="FFFFFF" w:themeColor="background1"/>
                <w:sz w:val="22"/>
              </w:rPr>
            </w:pPr>
            <w:r>
              <w:rPr>
                <w:rFonts w:cs="Arial"/>
                <w:color w:val="FFFFFF" w:themeColor="background1"/>
                <w:sz w:val="22"/>
              </w:rPr>
              <w:t>Zeiten und</w:t>
            </w:r>
          </w:p>
          <w:p>
            <w:pPr>
              <w:jc w:val="right"/>
              <w:rPr>
                <w:rFonts w:cs="Arial"/>
                <w:color w:val="FFFFFF" w:themeColor="background1"/>
                <w:sz w:val="22"/>
              </w:rPr>
            </w:pPr>
            <w:r>
              <w:rPr>
                <w:rFonts w:cs="Arial"/>
                <w:color w:val="FFFFFF" w:themeColor="background1"/>
                <w:sz w:val="22"/>
              </w:rPr>
              <w:t>Meilensteine</w:t>
            </w:r>
          </w:p>
        </w:tc>
        <w:tc>
          <w:tcPr>
            <w:tcW w:w="4817"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3. Quartal</w:t>
            </w:r>
          </w:p>
        </w:tc>
        <w:tc>
          <w:tcPr>
            <w:tcW w:w="4818" w:type="dxa"/>
            <w:gridSpan w:val="3"/>
            <w:shd w:val="clear" w:color="auto" w:fill="808080" w:themeFill="background1" w:themeFillShade="80"/>
            <w:vAlign w:val="center"/>
          </w:tcPr>
          <w:p>
            <w:pPr>
              <w:jc w:val="center"/>
              <w:rPr>
                <w:rFonts w:cs="Arial"/>
                <w:b/>
                <w:i/>
                <w:color w:val="FFFFFF" w:themeColor="background1"/>
                <w:sz w:val="22"/>
              </w:rPr>
            </w:pPr>
            <w:r>
              <w:rPr>
                <w:rFonts w:cs="Arial"/>
                <w:b/>
                <w:i/>
                <w:color w:val="FFFFFF" w:themeColor="background1"/>
                <w:sz w:val="22"/>
              </w:rPr>
              <w:t>4. Quartal</w:t>
            </w:r>
          </w:p>
        </w:tc>
      </w:tr>
      <w:tr>
        <w:trPr>
          <w:trHeight w:val="280"/>
        </w:trPr>
        <w:tc>
          <w:tcPr>
            <w:tcW w:w="4535" w:type="dxa"/>
            <w:vMerge/>
            <w:shd w:val="clear" w:color="auto" w:fill="808080" w:themeFill="background1" w:themeFillShade="80"/>
            <w:vAlign w:val="center"/>
          </w:tcPr>
          <w:p>
            <w:pPr>
              <w:jc w:val="right"/>
              <w:rPr>
                <w:rFonts w:cs="Arial"/>
                <w:color w:val="FFFFFF" w:themeColor="background1"/>
                <w:sz w:val="22"/>
              </w:rPr>
            </w:pPr>
          </w:p>
        </w:tc>
        <w:tc>
          <w:tcPr>
            <w:tcW w:w="1605"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Februar</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März</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April</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Mai</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Juni</w:t>
            </w:r>
          </w:p>
        </w:tc>
        <w:tc>
          <w:tcPr>
            <w:tcW w:w="1606" w:type="dxa"/>
            <w:shd w:val="clear" w:color="auto" w:fill="808080" w:themeFill="background1" w:themeFillShade="80"/>
            <w:vAlign w:val="center"/>
          </w:tcPr>
          <w:p>
            <w:pPr>
              <w:jc w:val="center"/>
              <w:rPr>
                <w:rFonts w:cs="Arial"/>
                <w:color w:val="FFFFFF" w:themeColor="background1"/>
                <w:sz w:val="22"/>
              </w:rPr>
            </w:pPr>
            <w:r>
              <w:rPr>
                <w:rFonts w:cs="Arial"/>
                <w:color w:val="FFFFFF" w:themeColor="background1"/>
                <w:sz w:val="22"/>
              </w:rPr>
              <w:t>Juli</w:t>
            </w:r>
          </w:p>
        </w:tc>
      </w:tr>
      <w:tr>
        <w:trPr>
          <w:trHeight w:val="20"/>
        </w:trPr>
        <w:tc>
          <w:tcPr>
            <w:tcW w:w="4535" w:type="dxa"/>
            <w:tcBorders>
              <w:bottom w:val="single" w:sz="4" w:space="0" w:color="auto"/>
            </w:tcBorders>
            <w:shd w:val="clear" w:color="auto" w:fill="FFFFFF" w:themeFill="background1"/>
            <w:vAlign w:val="center"/>
          </w:tcPr>
          <w:p>
            <w:pPr>
              <w:rPr>
                <w:rFonts w:cs="Arial"/>
                <w:color w:val="F2F2F2" w:themeColor="background1" w:themeShade="F2"/>
                <w:sz w:val="22"/>
              </w:rPr>
            </w:pPr>
            <w:r>
              <w:rPr>
                <w:rFonts w:cs="Arial"/>
                <w:sz w:val="22"/>
              </w:rPr>
              <w:t>Teilprozesse und -aufgaben</w:t>
            </w:r>
          </w:p>
        </w:tc>
        <w:tc>
          <w:tcPr>
            <w:tcW w:w="1605"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c>
          <w:tcPr>
            <w:tcW w:w="1606" w:type="dxa"/>
            <w:tcBorders>
              <w:bottom w:val="single" w:sz="4" w:space="0" w:color="auto"/>
            </w:tcBorders>
            <w:shd w:val="clear" w:color="auto" w:fill="FFFFFF" w:themeFill="background1"/>
            <w:vAlign w:val="center"/>
          </w:tcPr>
          <w:p>
            <w:pPr>
              <w:rPr>
                <w:rFonts w:cs="Arial"/>
                <w:sz w:val="22"/>
              </w:rPr>
            </w:pPr>
          </w:p>
        </w:tc>
      </w:tr>
      <w:tr>
        <w:trPr>
          <w:trHeight w:val="482"/>
        </w:trPr>
        <w:tc>
          <w:tcPr>
            <w:tcW w:w="4535" w:type="dxa"/>
            <w:shd w:val="clear" w:color="auto" w:fill="BF8F00" w:themeFill="accent4" w:themeFillShade="BF"/>
            <w:vAlign w:val="center"/>
          </w:tcPr>
          <w:p>
            <w:pPr>
              <w:rPr>
                <w:rFonts w:cs="Arial"/>
                <w:sz w:val="22"/>
              </w:rPr>
            </w:pPr>
            <w:r>
              <w:rPr>
                <w:rFonts w:cs="Arial"/>
                <w:color w:val="F2F2F2" w:themeColor="background1" w:themeShade="F2"/>
                <w:sz w:val="22"/>
              </w:rPr>
              <w:t>Organisationsentwicklung (OE)</w:t>
            </w:r>
          </w:p>
        </w:tc>
        <w:tc>
          <w:tcPr>
            <w:tcW w:w="1605"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c>
          <w:tcPr>
            <w:tcW w:w="1606" w:type="dxa"/>
            <w:shd w:val="clear" w:color="auto" w:fill="BF8F00" w:themeFill="accent4"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4</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shd w:val="clear" w:color="auto" w:fill="538135" w:themeFill="accent6" w:themeFillShade="BF"/>
            <w:vAlign w:val="center"/>
          </w:tcPr>
          <w:p>
            <w:pPr>
              <w:rPr>
                <w:rFonts w:cs="Arial"/>
                <w:sz w:val="22"/>
              </w:rPr>
            </w:pPr>
            <w:r>
              <w:rPr>
                <w:rFonts w:cs="Arial"/>
                <w:color w:val="FFFFFF" w:themeColor="background1"/>
                <w:sz w:val="22"/>
              </w:rPr>
              <w:t>Unterrichtsentwicklung (UE)</w:t>
            </w:r>
          </w:p>
        </w:tc>
        <w:tc>
          <w:tcPr>
            <w:tcW w:w="1605"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c>
          <w:tcPr>
            <w:tcW w:w="1606" w:type="dxa"/>
            <w:shd w:val="clear" w:color="auto" w:fill="538135" w:themeFill="accent6"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4</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C45911" w:themeFill="accent2" w:themeFillShade="BF"/>
            <w:vAlign w:val="center"/>
          </w:tcPr>
          <w:p>
            <w:pPr>
              <w:rPr>
                <w:rFonts w:cs="Arial"/>
                <w:color w:val="FFFFFF" w:themeColor="background1"/>
                <w:sz w:val="22"/>
              </w:rPr>
            </w:pPr>
            <w:r>
              <w:rPr>
                <w:rFonts w:cs="Arial"/>
                <w:color w:val="F2F2F2" w:themeColor="background1" w:themeShade="F2"/>
                <w:sz w:val="22"/>
              </w:rPr>
              <w:t>Personalentwicklung (PE)</w:t>
            </w:r>
          </w:p>
        </w:tc>
        <w:tc>
          <w:tcPr>
            <w:tcW w:w="1605"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c>
          <w:tcPr>
            <w:tcW w:w="1606" w:type="dxa"/>
            <w:shd w:val="clear" w:color="auto" w:fill="C45911" w:themeFill="accent2" w:themeFillShade="BF"/>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4</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FFC000" w:themeFill="accent4"/>
            <w:vAlign w:val="center"/>
          </w:tcPr>
          <w:p>
            <w:pPr>
              <w:rPr>
                <w:rFonts w:cs="Arial"/>
                <w:color w:val="FFFFFF" w:themeColor="background1"/>
                <w:sz w:val="22"/>
              </w:rPr>
            </w:pPr>
            <w:r>
              <w:rPr>
                <w:rFonts w:cs="Arial"/>
                <w:color w:val="FFFFFF" w:themeColor="background1"/>
                <w:sz w:val="22"/>
              </w:rPr>
              <w:t>Kooperationsentwicklung (KE)</w:t>
            </w:r>
          </w:p>
        </w:tc>
        <w:tc>
          <w:tcPr>
            <w:tcW w:w="1605"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c>
          <w:tcPr>
            <w:tcW w:w="1606" w:type="dxa"/>
            <w:shd w:val="clear" w:color="auto" w:fill="FFC000" w:themeFill="accent4"/>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tcBorders>
              <w:bottom w:val="single" w:sz="4" w:space="0" w:color="auto"/>
            </w:tcBorders>
            <w:vAlign w:val="center"/>
          </w:tcPr>
          <w:p>
            <w:pPr>
              <w:ind w:left="708"/>
              <w:rPr>
                <w:rFonts w:cs="Arial"/>
                <w:sz w:val="22"/>
              </w:rPr>
            </w:pPr>
            <w:r>
              <w:rPr>
                <w:rFonts w:cs="Arial"/>
                <w:sz w:val="22"/>
              </w:rPr>
              <w:t>Aufgabe 4</w:t>
            </w:r>
          </w:p>
        </w:tc>
        <w:tc>
          <w:tcPr>
            <w:tcW w:w="1605"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c>
          <w:tcPr>
            <w:tcW w:w="1606" w:type="dxa"/>
            <w:tcBorders>
              <w:bottom w:val="single" w:sz="4" w:space="0" w:color="auto"/>
            </w:tcBorders>
            <w:vAlign w:val="center"/>
          </w:tcPr>
          <w:p>
            <w:pPr>
              <w:rPr>
                <w:rFonts w:cs="Arial"/>
                <w:sz w:val="22"/>
              </w:rPr>
            </w:pPr>
          </w:p>
        </w:tc>
      </w:tr>
      <w:tr>
        <w:trPr>
          <w:trHeight w:val="482"/>
        </w:trPr>
        <w:tc>
          <w:tcPr>
            <w:tcW w:w="4535" w:type="dxa"/>
            <w:shd w:val="clear" w:color="auto" w:fill="00B0F0"/>
            <w:vAlign w:val="center"/>
          </w:tcPr>
          <w:p>
            <w:pPr>
              <w:ind w:left="34"/>
              <w:jc w:val="both"/>
              <w:rPr>
                <w:rFonts w:cs="Arial"/>
                <w:sz w:val="22"/>
              </w:rPr>
            </w:pPr>
            <w:r>
              <w:rPr>
                <w:rFonts w:cs="Arial"/>
                <w:color w:val="FFFFFF" w:themeColor="background1"/>
                <w:sz w:val="22"/>
              </w:rPr>
              <w:t>Technologieentwicklung (TE)</w:t>
            </w:r>
          </w:p>
        </w:tc>
        <w:tc>
          <w:tcPr>
            <w:tcW w:w="1605"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c>
          <w:tcPr>
            <w:tcW w:w="1606" w:type="dxa"/>
            <w:shd w:val="clear" w:color="auto" w:fill="00B0F0"/>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3</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r>
        <w:trPr>
          <w:trHeight w:val="482"/>
        </w:trPr>
        <w:tc>
          <w:tcPr>
            <w:tcW w:w="4535" w:type="dxa"/>
            <w:vAlign w:val="center"/>
          </w:tcPr>
          <w:p>
            <w:pPr>
              <w:ind w:left="708"/>
              <w:rPr>
                <w:rFonts w:cs="Arial"/>
                <w:sz w:val="22"/>
              </w:rPr>
            </w:pPr>
            <w:r>
              <w:rPr>
                <w:rFonts w:cs="Arial"/>
                <w:sz w:val="22"/>
              </w:rPr>
              <w:t>Aufgabe 4</w:t>
            </w:r>
          </w:p>
        </w:tc>
        <w:tc>
          <w:tcPr>
            <w:tcW w:w="1605"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c>
          <w:tcPr>
            <w:tcW w:w="1606" w:type="dxa"/>
            <w:vAlign w:val="center"/>
          </w:tcPr>
          <w:p>
            <w:pPr>
              <w:rPr>
                <w:rFonts w:cs="Arial"/>
                <w:sz w:val="22"/>
              </w:rPr>
            </w:pPr>
          </w:p>
        </w:tc>
      </w:tr>
    </w:tbl>
    <w:p>
      <w:pPr>
        <w:jc w:val="both"/>
        <w:rPr>
          <w:sz w:val="22"/>
        </w:rPr>
      </w:pPr>
    </w:p>
    <w:sectPr>
      <w:pgSz w:w="16838" w:h="11906" w:orient="landscape"/>
      <w:pgMar w:top="1417" w:right="1417"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234F2"/>
    <w:multiLevelType w:val="hybridMultilevel"/>
    <w:tmpl w:val="5BA428B4"/>
    <w:lvl w:ilvl="0" w:tplc="733C6072">
      <w:start w:val="1"/>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7806CB4"/>
    <w:multiLevelType w:val="hybridMultilevel"/>
    <w:tmpl w:val="582AAC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A51C76-EE89-48A9-94DB-BF262F1E6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de-DE" w:eastAsia="en-US" w:bidi="ar-SA"/>
      </w:rPr>
    </w:rPrDefault>
    <w:pPrDefault>
      <w:pPr>
        <w:spacing w:after="240" w:line="3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ulentwicklung.nrw.de/referenzrahmen/broschuere.pdf" TargetMode="External"/><Relationship Id="rId3" Type="http://schemas.openxmlformats.org/officeDocument/2006/relationships/settings" Target="settings.xml"/><Relationship Id="rId7" Type="http://schemas.openxmlformats.org/officeDocument/2006/relationships/hyperlink" Target="https://lehrerfortbildung-bw.de/st_digital/medienwerkstatt/dossiers/sonstige/projektmana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hulentwicklung.nrw.de/q/ganztag/struktur-und-organisation/vernetzte-ganztagsschule/vernetzung-in-den-sozialraum/qualitaetszirkel.html"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hulentwicklung.nrw.de/referenzrahmen/index.php?bereich=1259"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971</Words>
  <Characters>6118</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Bezirksregierung Köln</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Nachtkamp, Ulrich</dc:creator>
  <cp:keywords/>
  <dc:description/>
  <cp:lastModifiedBy>Nachtkamp, Ulrich</cp:lastModifiedBy>
  <cp:revision>3</cp:revision>
  <dcterms:created xsi:type="dcterms:W3CDTF">2024-01-17T15:57:00Z</dcterms:created>
  <dcterms:modified xsi:type="dcterms:W3CDTF">2024-01-23T12:54:00Z</dcterms:modified>
</cp:coreProperties>
</file>