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sz w:val="28"/>
          <w:szCs w:val="28"/>
        </w:rPr>
      </w:pPr>
      <w:r>
        <w:rPr>
          <w:sz w:val="28"/>
          <w:szCs w:val="28"/>
        </w:rPr>
        <w:t xml:space="preserve">Anforderungsbereich: </w:t>
      </w:r>
      <w:r>
        <w:rPr>
          <w:b/>
          <w:bCs/>
          <w:sz w:val="28"/>
          <w:szCs w:val="28"/>
        </w:rPr>
        <w:t xml:space="preserve">Katame</w:t>
      </w:r>
      <w:r>
        <w:rPr>
          <w:b/>
          <w:bCs/>
          <w:sz w:val="28"/>
          <w:szCs w:val="28"/>
        </w:rPr>
        <w:t xml:space="preserve">-waza</w:t>
      </w:r>
      <w:r>
        <w:rPr>
          <w:sz w:val="28"/>
          <w:szCs w:val="28"/>
        </w:rPr>
        <w:tab/>
      </w:r>
      <w:r>
        <w:rPr>
          <w:sz w:val="28"/>
          <w:szCs w:val="28"/>
        </w:rPr>
        <w:tab/>
      </w:r>
      <w:r>
        <w:rPr>
          <w:sz w:val="28"/>
          <w:szCs w:val="28"/>
        </w:rPr>
        <w:tab/>
      </w:r>
      <w:r>
        <w:rPr>
          <w:sz w:val="28"/>
          <w:szCs w:val="28"/>
        </w:rPr>
        <w:tab/>
      </w:r>
      <w:r>
        <w:rPr>
          <w:sz w:val="28"/>
          <w:szCs w:val="28"/>
        </w:rPr>
        <w:tab/>
      </w:r>
      <w:r>
        <w:rPr>
          <w:sz w:val="28"/>
          <w:szCs w:val="28"/>
        </w:rPr>
        <w:t xml:space="preserve">Dangrad</w:t>
      </w:r>
      <w:r>
        <w:rPr>
          <w:sz w:val="28"/>
          <w:szCs w:val="28"/>
        </w:rPr>
        <w:t xml:space="preserve">: </w:t>
      </w:r>
      <w:r>
        <w:rPr>
          <w:b/>
          <w:bCs/>
          <w:sz w:val="28"/>
          <w:szCs w:val="28"/>
        </w:rPr>
        <w:t xml:space="preserve">1. Dan</w:t>
      </w:r>
      <w:r/>
    </w:p>
    <w:p>
      <w:pPr>
        <w:rPr>
          <w:sz w:val="22"/>
          <w:szCs w:val="22"/>
        </w:rPr>
      </w:pPr>
      <w:r>
        <w:rPr>
          <w:sz w:val="22"/>
          <w:szCs w:val="22"/>
        </w:rPr>
      </w:r>
      <w:r/>
    </w:p>
    <w:p>
      <w:pPr>
        <w:rPr>
          <w:b/>
          <w:bCs/>
          <w:sz w:val="22"/>
          <w:szCs w:val="22"/>
        </w:rPr>
      </w:pPr>
      <w:r>
        <w:rPr>
          <w:b/>
          <w:bCs/>
          <w:sz w:val="22"/>
          <w:szCs w:val="22"/>
        </w:rPr>
        <w:t xml:space="preserve">Inhalt:</w:t>
      </w:r>
      <w:r/>
    </w:p>
    <w:p>
      <w:pPr>
        <w:rPr>
          <w:sz w:val="22"/>
          <w:szCs w:val="22"/>
        </w:rPr>
      </w:pPr>
      <w:r>
        <w:rPr>
          <w:sz w:val="22"/>
          <w:szCs w:val="22"/>
        </w:rPr>
      </w:r>
      <w:r/>
    </w:p>
    <w:p>
      <w:pPr>
        <w:pStyle w:val="658"/>
        <w:numPr>
          <w:ilvl w:val="0"/>
          <w:numId w:val="5"/>
        </w:numPr>
        <w:rPr>
          <w:sz w:val="20"/>
          <w:szCs w:val="20"/>
        </w:rPr>
      </w:pPr>
      <w:r>
        <w:rPr>
          <w:sz w:val="20"/>
          <w:szCs w:val="20"/>
        </w:rPr>
        <w:t xml:space="preserve">je eine Variante jeder </w:t>
      </w:r>
      <w:r>
        <w:rPr>
          <w:sz w:val="20"/>
          <w:szCs w:val="20"/>
        </w:rPr>
        <w:t xml:space="preserve">Katame-waza</w:t>
      </w:r>
      <w:r>
        <w:rPr>
          <w:sz w:val="20"/>
          <w:szCs w:val="20"/>
        </w:rPr>
        <w:t xml:space="preserve"> aus dem Grund- und Erweiterungsprogramm als Lösung von Standardsituationen</w:t>
      </w:r>
      <w:r>
        <w:rPr>
          <w:rStyle w:val="661"/>
          <w:sz w:val="20"/>
          <w:szCs w:val="20"/>
        </w:rPr>
        <w:footnoteReference w:id="2"/>
      </w:r>
      <w:r/>
    </w:p>
    <w:p>
      <w:pPr>
        <w:pStyle w:val="658"/>
        <w:numPr>
          <w:ilvl w:val="0"/>
          <w:numId w:val="5"/>
        </w:numPr>
        <w:rPr>
          <w:sz w:val="20"/>
          <w:szCs w:val="20"/>
        </w:rPr>
      </w:pPr>
      <w:r>
        <w:rPr>
          <w:b/>
          <w:bCs/>
          <w:i/>
          <w:iCs/>
          <w:sz w:val="20"/>
          <w:szCs w:val="20"/>
        </w:rPr>
        <w:t xml:space="preserve">darunter</w:t>
      </w:r>
      <w:r>
        <w:rPr>
          <w:sz w:val="20"/>
          <w:szCs w:val="20"/>
        </w:rPr>
        <w:t xml:space="preserve"> mindestens je eine Lösung für jede Standardsituation in Ober- und in Unterlage</w:t>
      </w:r>
      <w:r/>
    </w:p>
    <w:p>
      <w:pPr>
        <w:rPr>
          <w:b/>
          <w:bCs/>
          <w:sz w:val="22"/>
          <w:szCs w:val="22"/>
        </w:rPr>
      </w:pPr>
      <w:r>
        <w:rPr>
          <w:b/>
          <w:bCs/>
          <w:sz w:val="22"/>
          <w:szCs w:val="22"/>
        </w:rPr>
      </w:r>
      <w:r/>
    </w:p>
    <w:p>
      <w:pPr>
        <w:rPr>
          <w:b/>
          <w:bCs/>
          <w:sz w:val="22"/>
          <w:szCs w:val="22"/>
        </w:rPr>
      </w:pPr>
      <w:r>
        <w:rPr>
          <w:b/>
          <w:bCs/>
          <w:sz w:val="22"/>
          <w:szCs w:val="22"/>
        </w:rPr>
        <w:t xml:space="preserve">Kompetenzerwartungen:</w:t>
      </w:r>
      <w:r/>
    </w:p>
    <w:p>
      <w:pPr>
        <w:rPr>
          <w:sz w:val="22"/>
          <w:szCs w:val="22"/>
        </w:rPr>
      </w:pPr>
      <w:r>
        <w:rPr>
          <w:sz w:val="22"/>
          <w:szCs w:val="22"/>
        </w:rPr>
      </w:r>
      <w:r/>
    </w:p>
    <w:p>
      <w:pPr>
        <w:pStyle w:val="658"/>
        <w:numPr>
          <w:ilvl w:val="0"/>
          <w:numId w:val="2"/>
        </w:numPr>
        <w:ind w:right="-6"/>
        <w:rPr>
          <w:sz w:val="20"/>
          <w:szCs w:val="20"/>
        </w:rPr>
      </w:pPr>
      <w:r>
        <w:rPr>
          <w:sz w:val="20"/>
          <w:szCs w:val="20"/>
        </w:rPr>
        <w:t xml:space="preserve">Alle Techniken des </w:t>
      </w:r>
      <w:r>
        <w:rPr>
          <w:b/>
          <w:sz w:val="20"/>
          <w:szCs w:val="20"/>
        </w:rPr>
        <w:t xml:space="preserve">Grundprogramms sollen auf Niveaustufe 3</w:t>
      </w:r>
      <w:r>
        <w:rPr>
          <w:sz w:val="20"/>
          <w:szCs w:val="20"/>
        </w:rPr>
        <w:t xml:space="preserve"> beherrscht werden</w:t>
      </w:r>
      <w:r/>
    </w:p>
    <w:p>
      <w:pPr>
        <w:pStyle w:val="658"/>
        <w:numPr>
          <w:ilvl w:val="0"/>
          <w:numId w:val="2"/>
        </w:numPr>
        <w:ind w:right="-6"/>
        <w:rPr>
          <w:sz w:val="20"/>
          <w:szCs w:val="20"/>
        </w:rPr>
      </w:pPr>
      <w:r>
        <w:rPr>
          <w:sz w:val="20"/>
          <w:szCs w:val="20"/>
          <w:highlight w:val="none"/>
        </w:rPr>
        <w:t xml:space="preserve">Alle Techniken des </w:t>
      </w:r>
      <w:r>
        <w:rPr>
          <w:b/>
          <w:bCs/>
          <w:sz w:val="20"/>
          <w:szCs w:val="20"/>
          <w:highlight w:val="none"/>
        </w:rPr>
        <w:t xml:space="preserve">Erweiterungsprogramms sollen auf Niveaustufe 2</w:t>
      </w:r>
      <w:r>
        <w:rPr>
          <w:sz w:val="20"/>
          <w:szCs w:val="20"/>
          <w:highlight w:val="none"/>
        </w:rPr>
        <w:t xml:space="preserve"> beherrscht werden</w:t>
      </w:r>
      <w:r>
        <w:rPr>
          <w:sz w:val="20"/>
          <w:szCs w:val="20"/>
          <w:highlight w:val="none"/>
        </w:rPr>
      </w:r>
    </w:p>
    <w:p>
      <w:pPr>
        <w:rPr>
          <w:sz w:val="22"/>
          <w:szCs w:val="22"/>
        </w:rPr>
      </w:pPr>
      <w:r>
        <w:rPr>
          <w:sz w:val="22"/>
          <w:szCs w:val="22"/>
        </w:rPr>
      </w:r>
      <w:r/>
    </w:p>
    <w:p>
      <w:pPr>
        <w:rPr>
          <w:b/>
          <w:bCs/>
          <w:sz w:val="22"/>
          <w:szCs w:val="22"/>
        </w:rPr>
      </w:pPr>
      <w:r>
        <w:rPr>
          <w:b/>
          <w:bCs/>
          <w:sz w:val="22"/>
          <w:szCs w:val="22"/>
        </w:rPr>
        <w:t xml:space="preserve">Erläuterungen zu den Kompetenzerwartungen</w:t>
      </w:r>
      <w:r/>
    </w:p>
    <w:p>
      <w:pPr>
        <w:rPr>
          <w:sz w:val="22"/>
          <w:szCs w:val="22"/>
        </w:rPr>
      </w:pPr>
      <w:r>
        <w:rPr>
          <w:sz w:val="22"/>
          <w:szCs w:val="22"/>
        </w:rPr>
      </w:r>
      <w:r/>
    </w:p>
    <w:p>
      <w:pPr>
        <w:rPr>
          <w:sz w:val="20"/>
          <w:szCs w:val="20"/>
        </w:rPr>
      </w:pPr>
      <w:r>
        <w:rPr>
          <w:sz w:val="20"/>
          <w:szCs w:val="20"/>
        </w:rPr>
        <w:t xml:space="preserve">Im Gegensatz zu den Nage-</w:t>
      </w:r>
      <w:r>
        <w:rPr>
          <w:sz w:val="20"/>
          <w:szCs w:val="20"/>
        </w:rPr>
        <w:t xml:space="preserve">waza</w:t>
      </w:r>
      <w:r>
        <w:rPr>
          <w:sz w:val="20"/>
          <w:szCs w:val="20"/>
        </w:rPr>
        <w:t xml:space="preserve"> kommen bei den </w:t>
      </w:r>
      <w:r>
        <w:rPr>
          <w:sz w:val="20"/>
          <w:szCs w:val="20"/>
        </w:rPr>
        <w:t xml:space="preserve">Katame-waza</w:t>
      </w:r>
      <w:r>
        <w:rPr>
          <w:sz w:val="20"/>
          <w:szCs w:val="20"/>
        </w:rPr>
        <w:t xml:space="preserve"> vom 1. Kyu zum 1. Dan kaum neue Techniken hinzu. Es entfallen lediglich die Wahlmöglichkeiten innerhalb des Grund- und des Erweiterungsprogramms, die es im Kyu-Bereich noch gegeben hat.</w:t>
      </w:r>
      <w:r/>
    </w:p>
    <w:p>
      <w:pPr>
        <w:rPr>
          <w:sz w:val="20"/>
          <w:szCs w:val="20"/>
        </w:rPr>
      </w:pPr>
      <w:r>
        <w:rPr>
          <w:sz w:val="20"/>
          <w:szCs w:val="20"/>
        </w:rPr>
      </w:r>
      <w:r/>
    </w:p>
    <w:p>
      <w:pPr>
        <w:rPr>
          <w:sz w:val="20"/>
          <w:szCs w:val="20"/>
        </w:rPr>
      </w:pPr>
      <w:r>
        <w:rPr>
          <w:sz w:val="20"/>
          <w:szCs w:val="20"/>
        </w:rPr>
        <w:t xml:space="preserve">Dennoch gibt es eine wesentliche Steigerung: alle Techniken sollen zum 1. Dan auf höherem Niveau beherrscht werden. Dazu gehört insbesondere:</w:t>
      </w:r>
      <w:r/>
    </w:p>
    <w:p>
      <w:pPr>
        <w:pStyle w:val="658"/>
        <w:numPr>
          <w:ilvl w:val="0"/>
          <w:numId w:val="2"/>
        </w:numPr>
        <w:rPr>
          <w:sz w:val="20"/>
          <w:szCs w:val="20"/>
        </w:rPr>
      </w:pPr>
      <w:r>
        <w:rPr>
          <w:sz w:val="20"/>
          <w:szCs w:val="20"/>
        </w:rPr>
        <w:t xml:space="preserve">kontinuierliche Kontrolle insbesondere bei den Situationslösungen, die gegen eine dosierte Verteidigung Ukes ausgeführt werden sollen ("Erarbeiten von Lösungen")</w:t>
      </w:r>
      <w:r/>
    </w:p>
    <w:p>
      <w:pPr>
        <w:pStyle w:val="658"/>
        <w:numPr>
          <w:ilvl w:val="0"/>
          <w:numId w:val="2"/>
        </w:numPr>
        <w:rPr>
          <w:sz w:val="20"/>
          <w:szCs w:val="20"/>
        </w:rPr>
      </w:pPr>
      <w:r>
        <w:rPr>
          <w:sz w:val="20"/>
          <w:szCs w:val="20"/>
        </w:rPr>
        <w:t xml:space="preserve">Präzision bei der Realisierung der physiologischen und anatomischen Wirkprinzipien der </w:t>
      </w:r>
      <w:r>
        <w:rPr>
          <w:sz w:val="20"/>
          <w:szCs w:val="20"/>
        </w:rPr>
        <w:t xml:space="preserve">Shime</w:t>
      </w:r>
      <w:r>
        <w:rPr>
          <w:sz w:val="20"/>
          <w:szCs w:val="20"/>
        </w:rPr>
        <w:t xml:space="preserve">- und </w:t>
      </w:r>
      <w:r>
        <w:rPr>
          <w:sz w:val="20"/>
          <w:szCs w:val="20"/>
        </w:rPr>
        <w:t xml:space="preserve">Kansetsu-waza</w:t>
      </w:r>
      <w:r/>
    </w:p>
    <w:p>
      <w:pPr>
        <w:rPr>
          <w:sz w:val="20"/>
          <w:szCs w:val="20"/>
        </w:rPr>
      </w:pPr>
      <w:r>
        <w:rPr>
          <w:sz w:val="20"/>
          <w:szCs w:val="20"/>
        </w:rPr>
      </w:r>
      <w:r/>
    </w:p>
    <w:p>
      <w:pPr>
        <w:rPr>
          <w:sz w:val="20"/>
          <w:szCs w:val="20"/>
        </w:rPr>
      </w:pPr>
      <w:r>
        <w:rPr>
          <w:b/>
          <w:bCs/>
          <w:sz w:val="20"/>
          <w:szCs w:val="20"/>
        </w:rPr>
        <w:t xml:space="preserve">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r/>
    </w:p>
    <w:p>
      <w:pPr>
        <w:rPr>
          <w:sz w:val="22"/>
          <w:szCs w:val="22"/>
        </w:rPr>
      </w:pPr>
      <w:r>
        <w:rPr>
          <w:sz w:val="22"/>
          <w:szCs w:val="22"/>
        </w:rPr>
      </w:r>
      <w:r/>
    </w:p>
    <w:p>
      <w:pPr>
        <w:rPr>
          <w:b/>
          <w:bCs/>
          <w:sz w:val="22"/>
          <w:szCs w:val="22"/>
        </w:rPr>
      </w:pPr>
      <w:r>
        <w:rPr>
          <w:b/>
          <w:bCs/>
          <w:sz w:val="22"/>
          <w:szCs w:val="22"/>
        </w:rPr>
        <w:t xml:space="preserve">Hinweise zum Ablauf von Kompetenzüberprüfungen</w:t>
      </w:r>
      <w:r/>
    </w:p>
    <w:p>
      <w:pPr>
        <w:rPr>
          <w:sz w:val="22"/>
          <w:szCs w:val="22"/>
        </w:rPr>
      </w:pPr>
      <w:r>
        <w:rPr>
          <w:sz w:val="22"/>
          <w:szCs w:val="22"/>
        </w:rPr>
      </w:r>
      <w:r/>
    </w:p>
    <w:p>
      <w:pPr>
        <w:rPr>
          <w:sz w:val="20"/>
          <w:szCs w:val="20"/>
        </w:rPr>
      </w:pPr>
      <w:r>
        <w:rPr>
          <w:sz w:val="20"/>
          <w:szCs w:val="20"/>
        </w:rPr>
        <w:t xml:space="preserve">Die Überprüfung erfolgt in </w:t>
      </w:r>
      <w:r>
        <w:rPr>
          <w:b/>
          <w:bCs/>
          <w:sz w:val="20"/>
          <w:szCs w:val="20"/>
        </w:rPr>
        <w:t xml:space="preserve">Stichproben</w:t>
      </w:r>
      <w:r>
        <w:rPr>
          <w:sz w:val="20"/>
          <w:szCs w:val="20"/>
        </w:rPr>
        <w:t xml:space="preserve">. </w:t>
      </w:r>
      <w:r>
        <w:rPr>
          <w:sz w:val="20"/>
          <w:szCs w:val="20"/>
        </w:rPr>
        <w:t xml:space="preserve">Die Kandidatinnen und Kandidaten sollen </w:t>
      </w:r>
      <w:r>
        <w:rPr>
          <w:sz w:val="20"/>
          <w:szCs w:val="20"/>
        </w:rPr>
        <w:t xml:space="preserve">zu Beginn </w:t>
      </w:r>
      <w:r>
        <w:rPr>
          <w:sz w:val="20"/>
          <w:szCs w:val="20"/>
        </w:rPr>
        <w:t xml:space="preserve">Gelegenheit haben, sich </w:t>
      </w:r>
      <w:r>
        <w:rPr>
          <w:sz w:val="20"/>
          <w:szCs w:val="20"/>
        </w:rPr>
        <w:t xml:space="preserve">warm zu arbeiten</w:t>
      </w:r>
      <w:r>
        <w:rPr>
          <w:sz w:val="20"/>
          <w:szCs w:val="20"/>
        </w:rPr>
        <w:t xml:space="preserve"> und etwa </w:t>
      </w:r>
      <w:r>
        <w:rPr>
          <w:sz w:val="20"/>
          <w:szCs w:val="20"/>
        </w:rPr>
        <w:t xml:space="preserve">je 3-4</w:t>
      </w:r>
      <w:r>
        <w:rPr>
          <w:sz w:val="20"/>
          <w:szCs w:val="20"/>
        </w:rPr>
        <w:t xml:space="preserve"> </w:t>
      </w:r>
      <w:r>
        <w:rPr>
          <w:sz w:val="20"/>
          <w:szCs w:val="20"/>
        </w:rPr>
        <w:t xml:space="preserve">Osaekomi</w:t>
      </w:r>
      <w:r>
        <w:rPr>
          <w:sz w:val="20"/>
          <w:szCs w:val="20"/>
        </w:rPr>
        <w:t xml:space="preserve">-, </w:t>
      </w:r>
      <w:r>
        <w:rPr>
          <w:sz w:val="20"/>
          <w:szCs w:val="20"/>
        </w:rPr>
        <w:t xml:space="preserve">Kansetsu</w:t>
      </w:r>
      <w:r>
        <w:rPr>
          <w:sz w:val="20"/>
          <w:szCs w:val="20"/>
        </w:rPr>
        <w:t xml:space="preserve"> und </w:t>
      </w:r>
      <w:r>
        <w:rPr>
          <w:sz w:val="20"/>
          <w:szCs w:val="20"/>
        </w:rPr>
        <w:t xml:space="preserve">Shime</w:t>
      </w:r>
      <w:r>
        <w:rPr>
          <w:sz w:val="20"/>
          <w:szCs w:val="20"/>
        </w:rPr>
        <w:t xml:space="preserve">-waza</w:t>
      </w:r>
      <w:r>
        <w:rPr>
          <w:sz w:val="20"/>
          <w:szCs w:val="20"/>
        </w:rPr>
        <w:t xml:space="preserve"> nach freier Wahl zu demonstrieren. </w:t>
      </w:r>
      <w:r/>
    </w:p>
    <w:p>
      <w:pPr>
        <w:rPr>
          <w:sz w:val="20"/>
          <w:szCs w:val="20"/>
        </w:rPr>
      </w:pPr>
      <w:r>
        <w:rPr>
          <w:sz w:val="20"/>
          <w:szCs w:val="20"/>
        </w:rPr>
      </w:r>
      <w:r/>
    </w:p>
    <w:p>
      <w:pPr>
        <w:rPr>
          <w:sz w:val="20"/>
          <w:szCs w:val="20"/>
        </w:rPr>
      </w:pPr>
      <w:r>
        <w:rPr>
          <w:sz w:val="20"/>
          <w:szCs w:val="20"/>
        </w:rPr>
        <w:t xml:space="preserve">Danach werden von den Prüfenden gezielt Techniken </w:t>
      </w:r>
      <w:r>
        <w:rPr>
          <w:sz w:val="20"/>
          <w:szCs w:val="20"/>
        </w:rPr>
        <w:t xml:space="preserve">und Situationslösungen </w:t>
      </w:r>
      <w:r>
        <w:rPr>
          <w:sz w:val="20"/>
          <w:szCs w:val="20"/>
        </w:rPr>
        <w:t xml:space="preserve">abgefragt, um eine repräsentative Stichprobe zu gewährleisten. </w:t>
      </w:r>
      <w:r>
        <w:rPr>
          <w:sz w:val="20"/>
          <w:szCs w:val="20"/>
        </w:rPr>
        <w:t xml:space="preserve">Dabei soll</w:t>
      </w:r>
      <w:r>
        <w:rPr>
          <w:sz w:val="20"/>
          <w:szCs w:val="20"/>
        </w:rPr>
        <w:t xml:space="preserve"> muss ein angemessener Mix gebildet werden aus:</w:t>
      </w:r>
      <w:r/>
    </w:p>
    <w:p>
      <w:pPr>
        <w:pStyle w:val="658"/>
        <w:numPr>
          <w:ilvl w:val="0"/>
          <w:numId w:val="3"/>
        </w:numPr>
        <w:rPr>
          <w:sz w:val="20"/>
          <w:szCs w:val="20"/>
        </w:rPr>
      </w:pPr>
      <w:r>
        <w:rPr>
          <w:sz w:val="20"/>
          <w:szCs w:val="20"/>
        </w:rPr>
        <w:t xml:space="preserve">Situationslösungen</w:t>
      </w:r>
      <w:r>
        <w:rPr>
          <w:sz w:val="20"/>
          <w:szCs w:val="20"/>
        </w:rPr>
        <w:t xml:space="preserve">,</w:t>
      </w:r>
      <w:r/>
    </w:p>
    <w:p>
      <w:pPr>
        <w:pStyle w:val="658"/>
        <w:numPr>
          <w:ilvl w:val="0"/>
          <w:numId w:val="3"/>
        </w:numPr>
        <w:rPr>
          <w:sz w:val="20"/>
          <w:szCs w:val="20"/>
        </w:rPr>
      </w:pPr>
      <w:r>
        <w:rPr>
          <w:sz w:val="20"/>
          <w:szCs w:val="20"/>
        </w:rPr>
        <w:t xml:space="preserve">Osaekomi</w:t>
      </w:r>
      <w:r>
        <w:rPr>
          <w:sz w:val="20"/>
          <w:szCs w:val="20"/>
        </w:rPr>
        <w:t xml:space="preserve">-, </w:t>
      </w:r>
      <w:r>
        <w:rPr>
          <w:sz w:val="20"/>
          <w:szCs w:val="20"/>
        </w:rPr>
        <w:t xml:space="preserve">Kansetsu</w:t>
      </w:r>
      <w:r>
        <w:rPr>
          <w:sz w:val="20"/>
          <w:szCs w:val="20"/>
        </w:rPr>
        <w:t xml:space="preserve">- und </w:t>
      </w:r>
      <w:r>
        <w:rPr>
          <w:sz w:val="20"/>
          <w:szCs w:val="20"/>
        </w:rPr>
        <w:t xml:space="preserve">Shime-</w:t>
      </w:r>
      <w:r>
        <w:rPr>
          <w:sz w:val="20"/>
          <w:szCs w:val="20"/>
        </w:rPr>
        <w:t xml:space="preserve">waza</w:t>
      </w:r>
      <w:r>
        <w:rPr>
          <w:sz w:val="20"/>
          <w:szCs w:val="20"/>
        </w:rPr>
        <w:t xml:space="preserve">,</w:t>
      </w:r>
      <w:r/>
    </w:p>
    <w:p>
      <w:pPr>
        <w:pStyle w:val="658"/>
        <w:numPr>
          <w:ilvl w:val="0"/>
          <w:numId w:val="3"/>
        </w:numPr>
        <w:rPr>
          <w:sz w:val="20"/>
          <w:szCs w:val="20"/>
        </w:rPr>
      </w:pPr>
      <w:r>
        <w:rPr>
          <w:sz w:val="20"/>
          <w:szCs w:val="20"/>
        </w:rPr>
        <w:t xml:space="preserve">tendenziell "e</w:t>
      </w:r>
      <w:r>
        <w:rPr>
          <w:sz w:val="20"/>
          <w:szCs w:val="20"/>
        </w:rPr>
        <w:t xml:space="preserve">i</w:t>
      </w:r>
      <w:r>
        <w:rPr>
          <w:sz w:val="20"/>
          <w:szCs w:val="20"/>
        </w:rPr>
        <w:t xml:space="preserve">nfachen" und "schwierigen" Techniken.</w:t>
      </w:r>
      <w:r/>
    </w:p>
    <w:p>
      <w:pPr>
        <w:rPr>
          <w:sz w:val="20"/>
          <w:szCs w:val="20"/>
        </w:rPr>
      </w:pPr>
      <w:r>
        <w:rPr>
          <w:sz w:val="20"/>
          <w:szCs w:val="20"/>
        </w:rPr>
      </w:r>
      <w:r/>
    </w:p>
    <w:p>
      <w:pPr>
        <w:rPr>
          <w:sz w:val="20"/>
          <w:szCs w:val="20"/>
        </w:rPr>
      </w:pPr>
      <w:r>
        <w:rPr>
          <w:sz w:val="20"/>
          <w:szCs w:val="20"/>
        </w:rPr>
        <w:t xml:space="preserve">Die Gesamtzahl der demonstrierten Techniken </w:t>
      </w:r>
      <w:r>
        <w:rPr>
          <w:sz w:val="20"/>
          <w:szCs w:val="20"/>
        </w:rPr>
        <w:t xml:space="preserve">muss geeignet sein, das erreichte Kompetenzniveau festzustellen. </w:t>
      </w:r>
      <w:r/>
    </w:p>
    <w:p>
      <w:pPr>
        <w:rPr>
          <w:sz w:val="22"/>
          <w:szCs w:val="22"/>
        </w:rPr>
      </w:pPr>
      <w:r>
        <w:rPr>
          <w:sz w:val="22"/>
          <w:szCs w:val="22"/>
        </w:rPr>
      </w:r>
      <w:r/>
    </w:p>
    <w:p>
      <w:pPr>
        <w:rPr>
          <w:b/>
          <w:bCs/>
          <w:sz w:val="22"/>
          <w:szCs w:val="22"/>
        </w:rPr>
      </w:pPr>
      <w:r>
        <w:rPr>
          <w:b/>
          <w:bCs/>
          <w:sz w:val="22"/>
          <w:szCs w:val="22"/>
        </w:rPr>
        <w:t xml:space="preserve">Materialien und Literatur</w:t>
      </w:r>
      <w:r>
        <w:rPr>
          <w:b/>
          <w:bCs/>
          <w:sz w:val="22"/>
          <w:szCs w:val="22"/>
        </w:rPr>
        <w:t xml:space="preserve">:</w:t>
      </w:r>
      <w:r/>
    </w:p>
    <w:p>
      <w:pPr>
        <w:pStyle w:val="658"/>
        <w:numPr>
          <w:ilvl w:val="0"/>
          <w:numId w:val="4"/>
        </w:numPr>
        <w:rPr>
          <w:sz w:val="20"/>
          <w:szCs w:val="20"/>
        </w:rPr>
      </w:pPr>
      <w:r>
        <w:rPr>
          <w:sz w:val="20"/>
          <w:szCs w:val="20"/>
        </w:rPr>
        <w:t xml:space="preserve">DJB</w:t>
      </w:r>
      <w:r>
        <w:rPr>
          <w:sz w:val="20"/>
          <w:szCs w:val="20"/>
        </w:rPr>
        <w:t xml:space="preserve">: </w:t>
      </w:r>
      <w:r>
        <w:rPr>
          <w:sz w:val="20"/>
          <w:szCs w:val="20"/>
        </w:rPr>
        <w:t xml:space="preserve">Erläuterungen zu Theorie und Nomenklatur der </w:t>
      </w:r>
      <w:r>
        <w:rPr>
          <w:sz w:val="20"/>
          <w:szCs w:val="20"/>
        </w:rPr>
        <w:t xml:space="preserve">Katame-waza</w:t>
      </w:r>
      <w:r/>
    </w:p>
    <w:p>
      <w:pPr>
        <w:pStyle w:val="658"/>
        <w:numPr>
          <w:ilvl w:val="0"/>
          <w:numId w:val="4"/>
        </w:numPr>
        <w:rPr>
          <w:sz w:val="20"/>
          <w:szCs w:val="20"/>
        </w:rPr>
      </w:pPr>
      <w:r>
        <w:rPr>
          <w:sz w:val="20"/>
          <w:szCs w:val="20"/>
        </w:rPr>
        <w:t xml:space="preserve">Kodokan</w:t>
      </w:r>
      <w:r>
        <w:rPr>
          <w:sz w:val="20"/>
          <w:szCs w:val="20"/>
        </w:rPr>
        <w:t xml:space="preserve"> Judo Institute: Definitionen auf der Homepage und Videoclips auf </w:t>
      </w:r>
      <w:r>
        <w:rPr>
          <w:sz w:val="20"/>
          <w:szCs w:val="20"/>
        </w:rPr>
        <w:t xml:space="preserve">Youtube</w:t>
      </w:r>
      <w:r/>
    </w:p>
    <w:sectPr>
      <w:footnotePr/>
      <w:endnotePr/>
      <w:type w:val="nextPage"/>
      <w:pgSz w:w="11900" w:h="16840" w:orient="portrait"/>
      <w:pgMar w:top="773" w:right="1417" w:bottom="1134" w:left="1417"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409020205020404"/>
  </w:font>
  <w:font w:name="Symbol">
    <w:panose1 w:val="05010000000000000000"/>
  </w:font>
  <w:font w:name="Arial">
    <w:panose1 w:val="020B0604020202020204"/>
  </w:font>
  <w:font w:name="Calibri">
    <w:panose1 w:val="020F0502020204030204"/>
  </w:font>
  <w:font w:name="Times New Roman">
    <w:panose1 w:val="02020603050405020304"/>
  </w:font>
  <w:font w:name="Cambria">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659"/>
      </w:pPr>
      <w:r>
        <w:rPr>
          <w:rStyle w:val="661"/>
        </w:rPr>
        <w:footnoteRef/>
      </w:r>
      <w:r>
        <w:t xml:space="preserve"> Bank/Bauchlage, Beinklammer, Rückenlage (Partner zwischen den Beinen), Übergang Stand-Boden</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360" w:hanging="360"/>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360" w:hanging="360"/>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3">
    <w:multiLevelType w:val="hybridMultilevel"/>
    <w:lvl w:ilvl="0">
      <w:start w:val="1"/>
      <w:numFmt w:val="bullet"/>
      <w:isLgl w:val="false"/>
      <w:suff w:val="tab"/>
      <w:lvlText w:val=""/>
      <w:lvlJc w:val="left"/>
      <w:pPr>
        <w:ind w:left="360" w:hanging="360"/>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de-DE" w:eastAsia="ja-JP" w:bidi="ar-SA"/>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5"/>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5"/>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655"/>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655"/>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59"/>
    <w:uiPriority w:val="99"/>
    <w:rPr>
      <w:sz w:val="18"/>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qFormat/>
  </w:style>
  <w:style w:type="character" w:styleId="655" w:default="1">
    <w:name w:val="Default Paragraph Font"/>
    <w:uiPriority w:val="1"/>
    <w:semiHidden/>
    <w:unhideWhenUsed/>
  </w:style>
  <w:style w:type="table" w:styleId="656" w:default="1">
    <w:name w:val="Normal Table"/>
    <w:uiPriority w:val="99"/>
    <w:semiHidden/>
    <w:unhideWhenUsed/>
    <w:tblPr>
      <w:tblInd w:w="0" w:type="dxa"/>
      <w:tblCellMar>
        <w:left w:w="108" w:type="dxa"/>
        <w:top w:w="0" w:type="dxa"/>
        <w:right w:w="108" w:type="dxa"/>
        <w:bottom w:w="0" w:type="dxa"/>
      </w:tblCellMar>
    </w:tblPr>
  </w:style>
  <w:style w:type="numbering" w:styleId="657" w:default="1">
    <w:name w:val="No List"/>
    <w:uiPriority w:val="99"/>
    <w:semiHidden/>
    <w:unhideWhenUsed/>
  </w:style>
  <w:style w:type="paragraph" w:styleId="658">
    <w:name w:val="List Paragraph"/>
    <w:basedOn w:val="654"/>
    <w:uiPriority w:val="34"/>
    <w:qFormat/>
    <w:pPr>
      <w:contextualSpacing/>
      <w:ind w:left="720"/>
    </w:pPr>
    <w:rPr>
      <w14:ligatures w14:val="none"/>
    </w:rPr>
  </w:style>
  <w:style w:type="paragraph" w:styleId="659">
    <w:name w:val="footnote text"/>
    <w:basedOn w:val="654"/>
    <w:link w:val="660"/>
    <w:uiPriority w:val="99"/>
    <w:semiHidden/>
    <w:unhideWhenUsed/>
    <w:rPr>
      <w:sz w:val="20"/>
      <w:szCs w:val="20"/>
      <w14:ligatures w14:val="none"/>
    </w:rPr>
  </w:style>
  <w:style w:type="character" w:styleId="660" w:customStyle="1">
    <w:name w:val="Fußnotentext Zchn"/>
    <w:basedOn w:val="655"/>
    <w:link w:val="659"/>
    <w:uiPriority w:val="99"/>
    <w:semiHidden/>
    <w:rPr>
      <w:sz w:val="20"/>
      <w:szCs w:val="20"/>
      <w14:ligatures w14:val="none"/>
    </w:rPr>
  </w:style>
  <w:style w:type="character" w:styleId="661">
    <w:name w:val="footnote reference"/>
    <w:basedOn w:val="655"/>
    <w:uiPriority w:val="99"/>
    <w:semiHidden/>
    <w:unhideWhenUsed/>
    <w:rPr>
      <w:vertAlign w:val="super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revision>4</cp:revision>
  <dcterms:created xsi:type="dcterms:W3CDTF">2023-12-25T16:16:00Z</dcterms:created>
  <dcterms:modified xsi:type="dcterms:W3CDTF">2023-12-27T08:31:05Z</dcterms:modified>
</cp:coreProperties>
</file>