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>Leseförderkonzept der Fröbelschule:</w:t>
      </w:r>
    </w:p>
    <w:p>
      <w:pPr>
        <w:pStyle w:val="Normal"/>
        <w:rPr>
          <w:rFonts w:ascii="Arial" w:hAnsi="Arial"/>
        </w:rPr>
      </w:pPr>
      <w:r>
        <w:rPr>
          <w:rFonts w:ascii="Arial" w:hAnsi="Arial"/>
        </w:rPr>
      </w:r>
    </w:p>
    <w:tbl>
      <w:tblPr>
        <w:tblW w:w="14800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78"/>
        <w:gridCol w:w="3631"/>
        <w:gridCol w:w="3743"/>
        <w:gridCol w:w="3407"/>
        <w:gridCol w:w="2041"/>
      </w:tblGrid>
      <w:tr>
        <w:trPr/>
        <w:tc>
          <w:tcPr>
            <w:tcW w:w="197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Elemente der Leseförderung</w:t>
            </w:r>
          </w:p>
        </w:tc>
        <w:tc>
          <w:tcPr>
            <w:tcW w:w="107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Verbindlich vereinbarte Instrumente, Strategien, Verfahren ggf. mit Terminierung</w:t>
            </w:r>
          </w:p>
        </w:tc>
        <w:tc>
          <w:tcPr>
            <w:tcW w:w="204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Evaluation</w:t>
            </w:r>
          </w:p>
        </w:tc>
      </w:tr>
      <w:tr>
        <w:trPr/>
        <w:tc>
          <w:tcPr>
            <w:tcW w:w="1978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/>
              <w:t xml:space="preserve"> </w:t>
            </w:r>
            <w:r>
              <w:rPr>
                <w:rFonts w:ascii="Arial" w:hAnsi="Arial"/>
                <w:b/>
                <w:bCs/>
                <w:highlight w:val="yellow"/>
              </w:rPr>
              <w:t>SEP</w:t>
            </w:r>
          </w:p>
        </w:tc>
        <w:tc>
          <w:tcPr>
            <w:tcW w:w="37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  <w:b/>
                <w:b/>
                <w:bCs/>
              </w:rPr>
            </w:pPr>
            <w:r>
              <w:rPr>
                <w:rFonts w:ascii="Arial" w:hAnsi="Arial"/>
                <w:b/>
                <w:bCs/>
                <w:highlight w:val="yellow"/>
              </w:rPr>
              <w:t>Klasse 3/4 zielgleich</w:t>
            </w:r>
          </w:p>
        </w:tc>
        <w:tc>
          <w:tcPr>
            <w:tcW w:w="34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  <w:b/>
                <w:b/>
                <w:bCs/>
              </w:rPr>
            </w:pPr>
            <w:r>
              <w:rPr>
                <w:rFonts w:ascii="Arial" w:hAnsi="Arial"/>
                <w:b/>
                <w:bCs/>
                <w:highlight w:val="yellow"/>
              </w:rPr>
              <w:t>Klasse 3/4 zieldifferent</w:t>
            </w:r>
          </w:p>
        </w:tc>
        <w:tc>
          <w:tcPr>
            <w:tcW w:w="204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/>
        <w:tc>
          <w:tcPr>
            <w:tcW w:w="19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1. Regelmäßige Lernstandsermittlung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- Flex und Flora Diagnosematerial (Klasse 2-4)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- Leseludi (Klasse 1)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Tabelleninhalt"/>
              <w:rPr>
                <w:rFonts w:ascii="Arial" w:hAnsi="Arial"/>
                <w:b/>
                <w:b/>
                <w:bCs/>
              </w:rPr>
            </w:pPr>
            <w:r>
              <w:rPr>
                <w:rFonts w:ascii="Arial" w:hAnsi="Arial"/>
                <w:b/>
                <w:bCs/>
              </w:rPr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</w:tc>
        <w:tc>
          <w:tcPr>
            <w:tcW w:w="37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  <w:b/>
                <w:b/>
                <w:bCs/>
              </w:rPr>
            </w:pPr>
            <w:r>
              <w:rPr>
                <w:rFonts w:ascii="Arial" w:hAnsi="Arial"/>
              </w:rPr>
              <w:t>Regelmäßige Lernstandsdiagnostik: durch die Flex und Flora Lesediagnostik (jährliche Eingangsdiagnostik, Verlaufsdiagnostik)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  <w:i/>
                <w:iCs/>
              </w:rPr>
              <w:t>Während der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  <w:i/>
                <w:iCs/>
              </w:rPr>
              <w:t>Diagnosewochen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34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- Eingangsdiagnostik  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Diagnostik aus den Lehrwerken von Flex &amp; Flora und Flex &amp; Flo (C,D,E)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-Lernstandsdiagnostik von Westermann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-Levumi </w:t>
            </w:r>
            <w:r>
              <w:rPr>
                <w:rFonts w:ascii="Arial" w:hAnsi="Arial"/>
                <w:i/>
                <w:iCs/>
              </w:rPr>
              <w:t>ca alle 6 Wochen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-Kompetenzorientierter Beobachtungsbogen von Flex &amp; Flora (C,D,E) nach der Bearbeitung des Heftes</w:t>
              <w:br/>
            </w:r>
            <w:r>
              <w:rPr>
                <w:rFonts w:ascii="Arial" w:hAnsi="Arial"/>
                <w:i/>
                <w:iCs/>
              </w:rPr>
              <w:t>Beobachtungs-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  <w:i/>
                <w:iCs/>
              </w:rPr>
              <w:t>Bogen (1x Schuljahr)</w:t>
            </w:r>
          </w:p>
        </w:tc>
        <w:tc>
          <w:tcPr>
            <w:tcW w:w="20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/>
        <w:tc>
          <w:tcPr>
            <w:tcW w:w="19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2. Dekodier-fähigkeit/</w:t>
              <w:br/>
              <w:t>Leseflüssigkeit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- Stolperwörter-Lesetest ab 2. Halbjahr SEP2 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- Flex und Flora 2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- IntraAct Plus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- Lautleseverfahren</w:t>
            </w:r>
          </w:p>
          <w:p>
            <w:pPr>
              <w:pStyle w:val="Tabelleninhalt"/>
              <w:rPr>
                <w:rFonts w:ascii="Arial" w:hAnsi="Arial"/>
                <w:b/>
                <w:b/>
                <w:bCs/>
              </w:rPr>
            </w:pPr>
            <w:r>
              <w:rPr>
                <w:rFonts w:ascii="Arial" w:hAnsi="Arial"/>
                <w:b/>
                <w:bCs/>
              </w:rPr>
            </w:r>
          </w:p>
          <w:p>
            <w:pPr>
              <w:pStyle w:val="Tabelleninhalt"/>
              <w:rPr>
                <w:rFonts w:ascii="Arial" w:hAnsi="Arial"/>
                <w:b/>
                <w:b/>
                <w:bCs/>
              </w:rPr>
            </w:pPr>
            <w:r>
              <w:rPr>
                <w:rFonts w:ascii="Arial" w:hAnsi="Arial"/>
                <w:b/>
                <w:bCs/>
              </w:rPr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Tabelleninhalt"/>
              <w:rPr>
                <w:rFonts w:ascii="Arial" w:hAnsi="Arial"/>
                <w:b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br/>
              <w:t xml:space="preserve">Mind. drei feste Lesezeiten: 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3 flexible Lesezeiten pro W., </w:t>
              <w:br/>
              <w:t xml:space="preserve">fächerübergreifend, 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Markierung (rot) im Klassenbuch</w:t>
            </w:r>
          </w:p>
          <w:p>
            <w:pPr>
              <w:pStyle w:val="Tabelleninhalt"/>
              <w:rPr>
                <w:rFonts w:ascii="Arial" w:hAnsi="Arial"/>
                <w:b/>
                <w:b/>
                <w:bCs/>
              </w:rPr>
            </w:pPr>
            <w:r>
              <w:rPr>
                <w:rFonts w:ascii="Arial" w:hAnsi="Arial"/>
                <w:b/>
                <w:bCs/>
              </w:rPr>
            </w:r>
          </w:p>
          <w:p>
            <w:pPr>
              <w:pStyle w:val="Tabelleninhalt"/>
              <w:rPr>
                <w:rFonts w:ascii="Arial" w:hAnsi="Arial"/>
                <w:b/>
                <w:b/>
                <w:bCs/>
              </w:rPr>
            </w:pPr>
            <w:r>
              <w:rPr>
                <w:rFonts w:ascii="Arial" w:hAnsi="Arial"/>
                <w:b/>
                <w:bCs/>
              </w:rPr>
            </w:r>
          </w:p>
        </w:tc>
        <w:tc>
          <w:tcPr>
            <w:tcW w:w="37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Lautleseverfahren: z.B. Lesen im Tandem (stärkere und schwächere SuS), Zeitlesen, Gemeinsames lautes Lesen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Tabelleninhalt"/>
              <w:rPr>
                <w:rFonts w:ascii="Arial" w:hAnsi="Arial"/>
                <w:b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 xml:space="preserve">Mind. drei feste Lesezeiten: 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3 flexible Lesezeiten pro W., </w:t>
              <w:br/>
              <w:t xml:space="preserve">fächerübergreifend, 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Markierung (rot) im Klassenbuch</w:t>
            </w:r>
          </w:p>
        </w:tc>
        <w:tc>
          <w:tcPr>
            <w:tcW w:w="34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-LeOn (verfügbar ab 11.09.23)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-onilo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-Einsatz von Lautleseverfahren (z.B. Lautlesetandems, etc.)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-Leselineal von Flex &amp; Flora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-Silbentraining (z.B. Intraact)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-Leseludi</w:t>
              <w:br/>
            </w:r>
            <w:r>
              <w:rPr>
                <w:rFonts w:ascii="Arial" w:hAnsi="Arial"/>
                <w:i/>
                <w:iCs/>
              </w:rPr>
              <w:t>Flex &amp; Flora C (L1, L2, L3)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  <w:i/>
                <w:iCs/>
              </w:rPr>
              <w:t>Flex &amp; Flora D (L1, L2, L4)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  <w:i/>
                <w:iCs/>
              </w:rPr>
              <w:t>Flex &amp; Flora E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  <w:i/>
                <w:iCs/>
              </w:rPr>
              <w:t>(wird ergänzt)</w:t>
              <w:br/>
            </w:r>
            <w:r>
              <w:rPr>
                <w:rFonts w:ascii="Arial" w:hAnsi="Arial"/>
                <w:b/>
                <w:bCs/>
                <w:i w:val="false"/>
                <w:iCs w:val="false"/>
              </w:rPr>
              <w:t xml:space="preserve">Mind. drei feste Lesezeiten: 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3 flexible Lesezeiten pro W., </w:t>
              <w:br/>
              <w:t xml:space="preserve">fächerübergreifend, 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  <w:i w:val="false"/>
                <w:iCs w:val="false"/>
              </w:rPr>
              <w:t>Markierung (rot) im Klassenbuch</w:t>
            </w:r>
          </w:p>
        </w:tc>
        <w:tc>
          <w:tcPr>
            <w:tcW w:w="20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/>
        <w:tc>
          <w:tcPr>
            <w:tcW w:w="19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3a. Einüben von Lesestrategien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- Flex und Flora ab Klasse 2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Tabelleninhalt"/>
              <w:rPr>
                <w:rFonts w:ascii="Arial" w:hAnsi="Arial"/>
                <w:b/>
                <w:b/>
                <w:bCs/>
              </w:rPr>
            </w:pPr>
            <w:r>
              <w:rPr>
                <w:rFonts w:ascii="Arial" w:hAnsi="Arial"/>
                <w:b/>
                <w:bCs/>
              </w:rPr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Tabelleninhalt"/>
              <w:rPr>
                <w:rFonts w:ascii="Arial" w:hAnsi="Arial"/>
                <w:b/>
                <w:b/>
                <w:bCs/>
              </w:rPr>
            </w:pPr>
            <w:r>
              <w:rPr>
                <w:rFonts w:ascii="Arial" w:hAnsi="Arial"/>
                <w:b/>
                <w:bCs/>
              </w:rPr>
            </w:r>
          </w:p>
          <w:p>
            <w:pPr>
              <w:pStyle w:val="Tabelleninhalt"/>
              <w:rPr>
                <w:rFonts w:ascii="Arial" w:hAnsi="Arial"/>
                <w:b/>
                <w:b/>
                <w:bCs/>
              </w:rPr>
            </w:pPr>
            <w:r>
              <w:rPr>
                <w:rFonts w:ascii="Arial" w:hAnsi="Arial"/>
                <w:b/>
                <w:bCs/>
              </w:rPr>
            </w:r>
          </w:p>
        </w:tc>
        <w:tc>
          <w:tcPr>
            <w:tcW w:w="37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- kontinuierliches Einüben und Erweitern durch die Lehrwerke (ab SEP 2)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- </w:t>
            </w:r>
            <w:r>
              <w:rPr>
                <w:rFonts w:ascii="Arial" w:hAnsi="Arial"/>
                <w:b/>
                <w:bCs/>
              </w:rPr>
              <w:t>Die Lehrkraft fungiert beim Anbahnen der Lesestrategien als Modell</w:t>
            </w:r>
            <w:r>
              <w:rPr>
                <w:rFonts w:ascii="Arial" w:hAnsi="Arial"/>
              </w:rPr>
              <w:t xml:space="preserve"> (durch lautes Denken)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34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-Leseheft Flex &amp; Flora inklusiv (blau)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-Lesestrategien von Flex &amp; Flora D, E (Vorwissen aktivieren, Vermutungen zum Textinhalt, Überschrift beachten, Texte abschnittsweise lesen, Fragen an den Text, Klärungen von unbekannten Wörtern, Schlüsselwörter markieren, Zwischenüberschriften formulieren, Reflexion des Textinhalts)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-Visualisierung der Lesestrategien in den Klassen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-Schrittweise Einführung der Lesestrategien</w:t>
              <w:br/>
              <w:br/>
            </w:r>
            <w:r>
              <w:rPr>
                <w:rFonts w:ascii="Arial" w:hAnsi="Arial"/>
                <w:i/>
                <w:iCs/>
              </w:rPr>
              <w:t>Flex &amp; Flora C (L4)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  <w:i/>
                <w:iCs/>
              </w:rPr>
              <w:t>Flex &amp; Flora D (L3, L4)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  <w:i/>
                <w:iCs/>
              </w:rPr>
              <w:t>Flex und Flora E (wird ergänzt)</w:t>
            </w:r>
          </w:p>
        </w:tc>
        <w:tc>
          <w:tcPr>
            <w:tcW w:w="20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/>
        <w:tc>
          <w:tcPr>
            <w:tcW w:w="19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3b. Einsatz von Lesestrategien in allen Fächern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- Mathematik (Sachaufgaben ab Klasse 2) 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- Sachunterricht 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- fächerübergreifend: Wortspeicher und Aufgabenstellungen lesen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Tabelleninhalt"/>
              <w:numPr>
                <w:ilvl w:val="0"/>
                <w:numId w:val="0"/>
              </w:numPr>
              <w:ind w:left="720" w:hanging="0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  <w:highlight w:val="yellow"/>
              </w:rPr>
              <w:t xml:space="preserve"> </w:t>
            </w:r>
            <w:r>
              <w:rPr>
                <w:rFonts w:ascii="Arial" w:hAnsi="Arial"/>
              </w:rPr>
              <w:t xml:space="preserve"> </w:t>
            </w:r>
          </w:p>
        </w:tc>
        <w:tc>
          <w:tcPr>
            <w:tcW w:w="37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Wichtige Lesestrategien: </w:t>
            </w:r>
          </w:p>
          <w:p>
            <w:pPr>
              <w:pStyle w:val="Tabelleninhalt"/>
              <w:numPr>
                <w:ilvl w:val="0"/>
                <w:numId w:val="5"/>
              </w:num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Überschrift beachten </w:t>
            </w:r>
          </w:p>
          <w:p>
            <w:pPr>
              <w:pStyle w:val="Tabelleninhalt"/>
              <w:numPr>
                <w:ilvl w:val="0"/>
                <w:numId w:val="5"/>
              </w:numPr>
              <w:rPr>
                <w:rFonts w:ascii="Arial" w:hAnsi="Arial"/>
              </w:rPr>
            </w:pPr>
            <w:r>
              <w:rPr>
                <w:rFonts w:ascii="Arial" w:hAnsi="Arial"/>
              </w:rPr>
              <w:t>Vermutungen zum Textinhalt</w:t>
            </w:r>
          </w:p>
          <w:p>
            <w:pPr>
              <w:pStyle w:val="Tabelleninhalt"/>
              <w:numPr>
                <w:ilvl w:val="0"/>
                <w:numId w:val="5"/>
              </w:numPr>
              <w:rPr>
                <w:rFonts w:ascii="Arial" w:hAnsi="Arial"/>
              </w:rPr>
            </w:pPr>
            <w:r>
              <w:rPr>
                <w:rFonts w:ascii="Arial" w:hAnsi="Arial"/>
              </w:rPr>
              <w:t>Vorwissen aktivieren</w:t>
            </w:r>
          </w:p>
          <w:p>
            <w:pPr>
              <w:pStyle w:val="Tabelleninhalt"/>
              <w:numPr>
                <w:ilvl w:val="0"/>
                <w:numId w:val="4"/>
              </w:numPr>
              <w:rPr>
                <w:rFonts w:ascii="Arial" w:hAnsi="Arial"/>
              </w:rPr>
            </w:pPr>
            <w:r>
              <w:rPr>
                <w:rFonts w:ascii="Arial" w:hAnsi="Arial"/>
              </w:rPr>
              <w:t>Fragen an den Text richten (z.B. Wer? Wo? Wann? Warum?)</w:t>
            </w:r>
          </w:p>
          <w:p>
            <w:pPr>
              <w:pStyle w:val="Tabelleninhalt"/>
              <w:numPr>
                <w:ilvl w:val="0"/>
                <w:numId w:val="3"/>
              </w:numPr>
              <w:rPr>
                <w:rFonts w:ascii="Arial" w:hAnsi="Arial"/>
              </w:rPr>
            </w:pPr>
            <w:r>
              <w:rPr>
                <w:rFonts w:ascii="Arial" w:hAnsi="Arial"/>
              </w:rPr>
              <w:t>Verstehen überprüfen</w:t>
            </w:r>
          </w:p>
          <w:p>
            <w:pPr>
              <w:pStyle w:val="Tabelleninhalt"/>
              <w:numPr>
                <w:ilvl w:val="0"/>
                <w:numId w:val="3"/>
              </w:numPr>
              <w:rPr>
                <w:rFonts w:ascii="Arial" w:hAnsi="Arial"/>
              </w:rPr>
            </w:pPr>
            <w:r>
              <w:rPr>
                <w:rFonts w:ascii="Arial" w:hAnsi="Arial"/>
              </w:rPr>
              <w:t>Bedeutung von Wörtern klären</w:t>
            </w:r>
          </w:p>
          <w:p>
            <w:pPr>
              <w:pStyle w:val="Tabelleninhalt"/>
              <w:numPr>
                <w:ilvl w:val="0"/>
                <w:numId w:val="2"/>
              </w:numPr>
              <w:rPr>
                <w:rFonts w:ascii="Arial" w:hAnsi="Arial"/>
              </w:rPr>
            </w:pPr>
            <w:r>
              <w:rPr>
                <w:rFonts w:ascii="Arial" w:hAnsi="Arial"/>
              </w:rPr>
              <w:t>Wichtiges unterstreichen (z.B. Schlüsselwörter)</w:t>
            </w:r>
          </w:p>
          <w:p>
            <w:pPr>
              <w:pStyle w:val="Tabelleninhalt"/>
              <w:numPr>
                <w:ilvl w:val="0"/>
                <w:numId w:val="1"/>
              </w:numPr>
              <w:rPr>
                <w:rFonts w:ascii="Arial" w:hAnsi="Arial"/>
              </w:rPr>
            </w:pPr>
            <w:r>
              <w:rPr>
                <w:rFonts w:ascii="Arial" w:hAnsi="Arial"/>
              </w:rPr>
              <w:t>Wichtiges unterstreichen (z.B. Schlüsselwörter)</w:t>
            </w:r>
          </w:p>
          <w:p>
            <w:pPr>
              <w:pStyle w:val="Tabelleninhalt"/>
              <w:numPr>
                <w:ilvl w:val="0"/>
                <w:numId w:val="1"/>
              </w:numPr>
              <w:rPr>
                <w:rFonts w:ascii="Arial" w:hAnsi="Arial"/>
              </w:rPr>
            </w:pPr>
            <w:r>
              <w:rPr>
                <w:rFonts w:ascii="Arial" w:hAnsi="Arial"/>
              </w:rPr>
              <w:t>Kernaussagen zusammenfassen</w:t>
            </w:r>
          </w:p>
          <w:p>
            <w:pPr>
              <w:pStyle w:val="Tabelleninhalt"/>
              <w:numPr>
                <w:ilvl w:val="0"/>
                <w:numId w:val="1"/>
              </w:numPr>
              <w:rPr>
                <w:rFonts w:ascii="Arial" w:hAnsi="Arial"/>
              </w:rPr>
            </w:pPr>
            <w:r>
              <w:rPr>
                <w:rFonts w:ascii="Arial" w:hAnsi="Arial"/>
              </w:rPr>
              <w:t>Text in Abschnitte gliedern (Zu jedem Abschnitt einen Satz oder Überschrift schreiben)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  <w:i/>
                <w:iCs/>
              </w:rPr>
              <w:t>Evaluation erfolgt im Fach Deutsch</w:t>
            </w:r>
          </w:p>
        </w:tc>
        <w:tc>
          <w:tcPr>
            <w:tcW w:w="34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Nebenfächer: Sachunterricht bei Sachtexten zu individuell festgelegten, am lehrplanorientierten Themen</w:t>
            </w:r>
          </w:p>
        </w:tc>
        <w:tc>
          <w:tcPr>
            <w:tcW w:w="20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/>
        <w:tc>
          <w:tcPr>
            <w:tcW w:w="19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4. Lesemotivation/ </w:t>
              <w:br/>
              <w:t>Selbstkonzept</w:t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- Versuch, Eltern einzubeziehen (z. B. Lesemauer, Leseraupe, Lesevertrag)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- Vorlesen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- Schulbücherei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- Lesewettbewerb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- Leseludi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  <w:b w:val="false"/>
                <w:bCs w:val="false"/>
              </w:rPr>
              <w:t>- Antolin (für starke Leser)</w:t>
            </w:r>
          </w:p>
        </w:tc>
        <w:tc>
          <w:tcPr>
            <w:tcW w:w="37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- individuelle (interessensgeleitete) Wahl der Lektüre durch die Lernenden in der Schulbücherei 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- jedes Kind bekommt in Klasse 3 und 4 eine Ganzschrift </w:t>
            </w:r>
            <w:r>
              <w:rPr>
                <w:rFonts w:ascii="Arial" w:hAnsi="Arial"/>
                <w:sz w:val="20"/>
                <w:szCs w:val="20"/>
              </w:rPr>
              <w:t>(Ich schenk dir eine Geschichte --&gt; Anmeldung bis Oktober des jeweiligen Jahres für das Folgejahr; unter: www.welttag-des-buches.de)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- </w:t>
            </w:r>
            <w:r>
              <w:rPr>
                <w:rFonts w:ascii="Arial" w:hAnsi="Arial"/>
                <w:u w:val="single"/>
              </w:rPr>
              <w:t>Tipp</w:t>
            </w:r>
            <w:r>
              <w:rPr>
                <w:rFonts w:ascii="Arial" w:hAnsi="Arial"/>
              </w:rPr>
              <w:t>: Verlag an der Este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- Nutzung von Apps (Aufzeigen des Fortschritts, z.B. in Bezug auf Lesegeschwindigkeit) 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- Buchvorstellung zur Förderung des Selbstkonzepts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  <w:i w:val="false"/>
                <w:iCs w:val="false"/>
              </w:rPr>
              <w:t>- Lesespurgeschichten mit Rätselcharakter</w:t>
            </w:r>
          </w:p>
        </w:tc>
        <w:tc>
          <w:tcPr>
            <w:tcW w:w="34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-Antolin 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-Bücherei-Besuche (verschiedene Angebote)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-interessengeleitete Bücherauswahl (Bücherei, Klasse)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-Vorlesetag</w:t>
            </w:r>
          </w:p>
        </w:tc>
        <w:tc>
          <w:tcPr>
            <w:tcW w:w="20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/>
        <w:tc>
          <w:tcPr>
            <w:tcW w:w="19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36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374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</w:tc>
        <w:tc>
          <w:tcPr>
            <w:tcW w:w="34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0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Vor den Herbstferien 2024 innerhalb der Stufe </w:t>
            </w:r>
          </w:p>
        </w:tc>
      </w:tr>
    </w:tbl>
    <w:p>
      <w:pPr>
        <w:sectPr>
          <w:type w:val="nextPage"/>
          <w:pgSz w:orient="landscape" w:w="16838" w:h="11906"/>
          <w:pgMar w:left="850" w:right="850" w:header="0" w:top="850" w:footer="0" w:bottom="850" w:gutter="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Normal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>Leseförderkonzept der Fröbelschule:</w:t>
      </w:r>
    </w:p>
    <w:p>
      <w:pPr>
        <w:pStyle w:val="Normal"/>
        <w:rPr>
          <w:rFonts w:ascii="Arial" w:hAnsi="Arial"/>
        </w:rPr>
      </w:pPr>
      <w:r>
        <w:rPr>
          <w:rFonts w:ascii="Arial" w:hAnsi="Arial"/>
        </w:rPr>
      </w:r>
    </w:p>
    <w:tbl>
      <w:tblPr>
        <w:tblW w:w="14800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28"/>
        <w:gridCol w:w="3395"/>
        <w:gridCol w:w="6472"/>
        <w:gridCol w:w="338"/>
        <w:gridCol w:w="2667"/>
      </w:tblGrid>
      <w:tr>
        <w:trPr/>
        <w:tc>
          <w:tcPr>
            <w:tcW w:w="192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Elemente der Leseförderung</w:t>
            </w:r>
          </w:p>
        </w:tc>
        <w:tc>
          <w:tcPr>
            <w:tcW w:w="1020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Verbindlich vereinbarte Instrumente, Strategien, Verfahren ggf. mit Terminierung</w:t>
            </w:r>
            <w:r>
              <w:rPr>
                <w:rFonts w:ascii="Arial" w:hAnsi="Arial"/>
                <w:b/>
                <w:bCs/>
                <w:highlight w:val="yellow"/>
              </w:rPr>
              <w:t xml:space="preserve"> </w:t>
            </w:r>
          </w:p>
        </w:tc>
        <w:tc>
          <w:tcPr>
            <w:tcW w:w="266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Evaluation</w:t>
            </w:r>
          </w:p>
        </w:tc>
      </w:tr>
      <w:tr>
        <w:trPr/>
        <w:tc>
          <w:tcPr>
            <w:tcW w:w="1928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33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/>
              <w:t xml:space="preserve"> </w:t>
            </w:r>
            <w:r>
              <w:rPr>
                <w:rFonts w:ascii="Arial" w:hAnsi="Arial"/>
                <w:b/>
                <w:bCs/>
                <w:highlight w:val="yellow"/>
              </w:rPr>
              <w:t>Mittelstufe</w:t>
            </w:r>
          </w:p>
        </w:tc>
        <w:tc>
          <w:tcPr>
            <w:tcW w:w="64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  <w:b/>
                <w:b/>
                <w:bCs/>
              </w:rPr>
            </w:pPr>
            <w:r>
              <w:rPr>
                <w:rFonts w:ascii="Arial" w:hAnsi="Arial"/>
                <w:b/>
                <w:bCs/>
                <w:highlight w:val="yellow"/>
              </w:rPr>
              <w:t>Oberstufe</w:t>
            </w:r>
          </w:p>
        </w:tc>
        <w:tc>
          <w:tcPr>
            <w:tcW w:w="3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  <w:b/>
                <w:b/>
                <w:bCs/>
              </w:rPr>
            </w:pPr>
            <w:r>
              <w:rPr>
                <w:rFonts w:ascii="Arial" w:hAnsi="Arial"/>
                <w:b/>
                <w:bCs/>
                <w:highlight w:val="yellow"/>
              </w:rPr>
              <w:t xml:space="preserve"> </w:t>
            </w:r>
          </w:p>
        </w:tc>
        <w:tc>
          <w:tcPr>
            <w:tcW w:w="2667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/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1. Regelmäßige Lernstandsermittlung</w:t>
            </w:r>
          </w:p>
        </w:tc>
        <w:tc>
          <w:tcPr>
            <w:tcW w:w="33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  <w:b w:val="false"/>
                <w:bCs w:val="false"/>
              </w:rPr>
              <w:t>Zu Beginn des Schuljahres in den Klassen 5 bis 7 und am Ende des Schuljahres Klasse 7 im Übergang zu Klasse 8</w:t>
            </w:r>
          </w:p>
        </w:tc>
        <w:tc>
          <w:tcPr>
            <w:tcW w:w="64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  <w:b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 xml:space="preserve">Diagnoseinstrumente: 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Einstiegsdiagnostik ELFE 2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Levumi.de </w:t>
            </w:r>
          </w:p>
          <w:p>
            <w:pPr>
              <w:pStyle w:val="Tabelleninhalt"/>
              <w:rPr>
                <w:rFonts w:ascii="Arial" w:hAnsi="Arial"/>
                <w:b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 xml:space="preserve">Zeitpunkte: 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Ende Klasse 7: Levumi (starke SuS zusätzlich ELFE)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Ende Klasse 8: Levumi für die unteren zwei Förderbänder; ELFE für die oberen zwei Förderbänder </w:t>
            </w:r>
            <w:r>
              <w:rPr>
                <w:rFonts w:eastAsia="Wingdings" w:cs="Wingdings" w:ascii="Wingdings" w:hAnsi="Wingdings"/>
              </w:rPr>
              <w:t></w:t>
            </w:r>
            <w:r>
              <w:rPr>
                <w:rFonts w:ascii="Arial" w:hAnsi="Arial"/>
              </w:rPr>
              <w:t xml:space="preserve"> HS Abschluss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Neue Schüler*innen zeitnah nach Schulwechsel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</w:rPr>
              <w:t>Informell</w:t>
            </w:r>
            <w:r>
              <w:rPr>
                <w:rFonts w:ascii="Arial" w:hAnsi="Arial"/>
              </w:rPr>
              <w:t>: mindestens eine LZK im Schuljahr im Bereich Leseverständnis (innerhalb der Förderbänder Deutsch)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</w:rPr>
              <w:t>Dokumentation</w:t>
            </w:r>
            <w:r>
              <w:rPr>
                <w:rFonts w:ascii="Arial" w:hAnsi="Arial"/>
              </w:rPr>
              <w:t xml:space="preserve">: Levumi und LZKs </w:t>
            </w:r>
            <w:r>
              <w:rPr>
                <w:rFonts w:eastAsia="Wingdings" w:cs="Wingdings" w:ascii="Wingdings" w:hAnsi="Wingdings"/>
              </w:rPr>
              <w:t></w:t>
            </w:r>
            <w:r>
              <w:rPr>
                <w:rFonts w:ascii="Arial" w:hAnsi="Arial"/>
              </w:rPr>
              <w:t xml:space="preserve"> Ergebnisse werden im LuEP abgeheftet</w:t>
            </w:r>
          </w:p>
          <w:p>
            <w:pPr>
              <w:pStyle w:val="Tabelleninhal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</w:rPr>
              <w:t>Fördermaßnahmen</w:t>
            </w:r>
            <w:r>
              <w:rPr>
                <w:rFonts w:ascii="Arial" w:hAnsi="Arial"/>
              </w:rPr>
              <w:t>: s. Lern- und Entwicklungsplan + Diagnostik dient zur Einteilung in die Förderbänder</w:t>
            </w:r>
          </w:p>
        </w:tc>
        <w:tc>
          <w:tcPr>
            <w:tcW w:w="3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</w:tc>
        <w:tc>
          <w:tcPr>
            <w:tcW w:w="26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/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2. Dekodierfähigkeit/</w:t>
              <w:br/>
              <w:t>Leseflüssigkeit</w:t>
            </w:r>
          </w:p>
        </w:tc>
        <w:tc>
          <w:tcPr>
            <w:tcW w:w="33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- Elfe II Digital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- Einsatz von levumi (Testphase)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alternativ</w:t>
            </w:r>
          </w:p>
          <w:p>
            <w:pPr>
              <w:pStyle w:val="Tabelleninhalt"/>
              <w:rPr>
                <w:rFonts w:ascii="Arial" w:hAnsi="Arial"/>
                <w:b/>
                <w:b/>
                <w:bCs/>
              </w:rPr>
            </w:pPr>
            <w:r>
              <w:rPr>
                <w:rFonts w:ascii="Arial" w:hAnsi="Arial"/>
              </w:rPr>
              <w:t>- Stolperwörter-Lesetest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Tabelleninhalt"/>
              <w:rPr>
                <w:rFonts w:ascii="Arial" w:hAnsi="Arial"/>
                <w:b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 xml:space="preserve">Mind. drei feste Lesezeiten: 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3 flexible Lesezeiten pro W., fächerübergreifend, 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Markierung (rot) im Klassenbuch</w:t>
            </w:r>
          </w:p>
        </w:tc>
        <w:tc>
          <w:tcPr>
            <w:tcW w:w="64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</w:rPr>
              <w:t>Diagnostik</w:t>
            </w:r>
            <w:r>
              <w:rPr>
                <w:rFonts w:ascii="Arial" w:hAnsi="Arial"/>
              </w:rPr>
              <w:t xml:space="preserve">: Levumi </w:t>
            </w:r>
          </w:p>
          <w:p>
            <w:pPr>
              <w:pStyle w:val="Tabelleninhalt"/>
              <w:rPr>
                <w:rFonts w:ascii="Arial" w:hAnsi="Arial"/>
                <w:b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 xml:space="preserve">Zeitpunkte: 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Ende Klasse 7 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Ende Klasse 8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Neue Schüler*innen zeitnah nach Schulwechsel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</w:rPr>
              <w:t>Angebote zur Förderung der Leseflüssigkeit:</w:t>
            </w:r>
            <w:r>
              <w:rPr>
                <w:rFonts w:ascii="Arial" w:hAnsi="Arial"/>
              </w:rPr>
              <w:t xml:space="preserve"> Gegenseitiges Vorlesen (Tandemlesen, in Dreiergruppen, Vorlesen im Kindergarten, Vorlesetag) </w:t>
            </w:r>
            <w:r>
              <w:rPr>
                <w:rFonts w:eastAsia="Wingdings" w:cs="Wingdings" w:ascii="Wingdings" w:hAnsi="Wingdings"/>
              </w:rPr>
              <w:t>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u w:val="single"/>
              </w:rPr>
              <w:t>Angebote</w:t>
            </w:r>
          </w:p>
          <w:p>
            <w:pPr>
              <w:pStyle w:val="Tabelleninhalt"/>
              <w:rPr>
                <w:rFonts w:ascii="Arial" w:hAnsi="Arial"/>
                <w:u w:val="single"/>
              </w:rPr>
            </w:pPr>
            <w:r>
              <w:rPr>
                <w:rFonts w:ascii="Arial" w:hAnsi="Arial"/>
              </w:rPr>
              <w:t xml:space="preserve">Schüler*innen ohne Sportzeug &amp; ohne HW-Geld lesen in der Unterstufe mit jüngeren Schüler*innen </w:t>
            </w:r>
            <w:r>
              <w:rPr>
                <w:rFonts w:eastAsia="Wingdings" w:cs="Wingdings" w:ascii="Wingdings" w:hAnsi="Wingdings"/>
              </w:rPr>
              <w:t></w:t>
            </w:r>
            <w:r>
              <w:rPr>
                <w:rFonts w:ascii="Arial" w:hAnsi="Arial"/>
                <w:u w:val="single"/>
              </w:rPr>
              <w:t>verbindlich</w:t>
            </w:r>
          </w:p>
          <w:p>
            <w:pPr>
              <w:pStyle w:val="Tabelleninhalt"/>
              <w:rPr>
                <w:rFonts w:ascii="Arial" w:hAnsi="Arial"/>
                <w:b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 xml:space="preserve">Mind. drei feste Lesezeiten: 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3 flexible Lesezeiten pro W., </w:t>
              <w:br/>
              <w:t xml:space="preserve">fächerübergreifend, 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Markierung (rot) im Klassenbuch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</w:rPr>
              <w:t>Individuelle Förderung</w:t>
            </w:r>
            <w:r>
              <w:rPr>
                <w:rFonts w:ascii="Arial" w:hAnsi="Arial"/>
              </w:rPr>
              <w:t xml:space="preserve"> bei guter personeller Ausstattung stellenweise möglich</w:t>
            </w:r>
          </w:p>
        </w:tc>
        <w:tc>
          <w:tcPr>
            <w:tcW w:w="3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6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/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3a. Einüben von Lesestrategien</w:t>
            </w:r>
          </w:p>
        </w:tc>
        <w:tc>
          <w:tcPr>
            <w:tcW w:w="33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Einführung durch Lehrwerk, in Abhängigkeit welcher Förderbandgruppe die Zuteilung erfolgte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</w:tc>
        <w:tc>
          <w:tcPr>
            <w:tcW w:w="64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Lesestrategien s. Anlage (Plakate in den Klassen sowie zusätzliche „Hilfebögen“ </w:t>
            </w:r>
            <w:r>
              <w:rPr>
                <w:rFonts w:eastAsia="Wingdings" w:cs="Wingdings" w:ascii="Wingdings" w:hAnsi="Wingdings"/>
              </w:rPr>
              <w:t></w:t>
            </w:r>
            <w:r>
              <w:rPr>
                <w:rFonts w:ascii="Arial" w:hAnsi="Arial"/>
              </w:rPr>
              <w:t xml:space="preserve"> orientiert an </w:t>
            </w:r>
            <w:r>
              <w:rPr>
                <w:rFonts w:ascii="Arial" w:hAnsi="Arial"/>
                <w:b/>
                <w:bCs/>
              </w:rPr>
              <w:t>Textknacker</w:t>
            </w:r>
            <w:r>
              <w:rPr>
                <w:rFonts w:ascii="Arial" w:hAnsi="Arial"/>
              </w:rPr>
              <w:t xml:space="preserve"> nach Cornelsen „Gezielt fördern – Lesetraining“)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</w:rPr>
              <w:t>Einüben</w:t>
            </w:r>
            <w:r>
              <w:rPr>
                <w:rFonts w:ascii="Arial" w:hAnsi="Arial"/>
              </w:rPr>
              <w:t xml:space="preserve">: Erstes Thema im Förderband Deutsch (in jedem Schuljahr und in allen Förderband-Gruppen) </w:t>
            </w:r>
            <w:r>
              <w:rPr>
                <w:rFonts w:eastAsia="Wingdings" w:cs="Wingdings" w:ascii="Wingdings" w:hAnsi="Wingdings"/>
              </w:rPr>
              <w:t></w:t>
            </w:r>
            <w:r>
              <w:rPr>
                <w:rFonts w:ascii="Arial" w:hAnsi="Arial"/>
              </w:rPr>
              <w:t xml:space="preserve">mind. 2 Wochen </w:t>
            </w:r>
          </w:p>
        </w:tc>
        <w:tc>
          <w:tcPr>
            <w:tcW w:w="3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6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/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3b. Einsatz von Lesestrategien in allen Fächern</w:t>
            </w:r>
          </w:p>
        </w:tc>
        <w:tc>
          <w:tcPr>
            <w:tcW w:w="33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64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durch Plakate und Hilfezettel in allen Fächern anwendbar 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3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6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/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4. Lesemotivation/ </w:t>
              <w:br/>
              <w:t>Selbstkonzept</w:t>
            </w:r>
          </w:p>
        </w:tc>
        <w:tc>
          <w:tcPr>
            <w:tcW w:w="33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  <w:b/>
                <w:b/>
                <w:bCs/>
              </w:rPr>
            </w:pPr>
            <w:r>
              <w:rPr>
                <w:rFonts w:ascii="Arial" w:hAnsi="Arial"/>
                <w:b/>
                <w:bCs/>
              </w:rPr>
            </w:r>
          </w:p>
        </w:tc>
        <w:tc>
          <w:tcPr>
            <w:tcW w:w="64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</w:rPr>
              <w:t>Buchvorstellungen</w:t>
            </w:r>
            <w:r>
              <w:rPr>
                <w:rFonts w:ascii="Arial" w:hAnsi="Arial"/>
              </w:rPr>
              <w:t xml:space="preserve"> z.T. in den Förderbändern sowie in der Schulbücherei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</w:rPr>
              <w:t>Leseprojekte</w:t>
            </w:r>
            <w:r>
              <w:rPr>
                <w:rFonts w:ascii="Arial" w:hAnsi="Arial"/>
              </w:rPr>
              <w:t>: Vorlesetag, Lesepaten, „Zeitschriften in den Schulen“ über Stiftung Lesen (in Absprache mit anderen Stufen)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</w:rPr>
              <w:t>Internet-Angebote</w:t>
            </w:r>
            <w:r>
              <w:rPr>
                <w:rFonts w:ascii="Arial" w:hAnsi="Arial"/>
              </w:rPr>
              <w:t>: Antolin, Mediacampus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</w:rPr>
              <w:t>Leseempfehlungen</w:t>
            </w:r>
            <w:r>
              <w:rPr>
                <w:rFonts w:ascii="Arial" w:hAnsi="Arial"/>
              </w:rPr>
              <w:t>: einmal monatlich über die „Lese-Fröbelnews“ =&gt; ab Oktober 2023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</w:rPr>
              <w:t>Leseangebote</w:t>
            </w:r>
            <w:r>
              <w:rPr>
                <w:rFonts w:ascii="Arial" w:hAnsi="Arial"/>
              </w:rPr>
              <w:t xml:space="preserve">: 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Schulbücherei - Besondere Angebote durch Frau Niggemann (in der Schulbücherei) 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Lesepaten (Oberstufe – Unterstufe)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Beteiligung der OS-Schüler*innen am Büchereidienst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Kontakt zur Stadtbücherei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Bücher in den Klassen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</w:rPr>
              <w:t>Inner- und außerschulische Partner</w:t>
            </w:r>
            <w:r>
              <w:rPr>
                <w:rFonts w:ascii="Arial" w:hAnsi="Arial"/>
              </w:rPr>
              <w:t xml:space="preserve">: 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Stadtbücherei, Stiftung Lesen, WR / WAZ.</w:t>
            </w:r>
          </w:p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Ortsansässige Buchhandlungen, Kommunales Integrationszentrum (weiter fokussieren)</w:t>
            </w:r>
          </w:p>
        </w:tc>
        <w:tc>
          <w:tcPr>
            <w:tcW w:w="3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6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/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33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64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33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6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elleninhalt"/>
              <w:rPr>
                <w:rFonts w:ascii="Arial" w:hAnsi="Arial"/>
              </w:rPr>
            </w:pPr>
            <w:r>
              <w:rPr>
                <w:rFonts w:ascii="Arial" w:hAnsi="Arial"/>
              </w:rPr>
              <w:t>vor den Herbstferien 2024 innerhalb der Stufen</w:t>
            </w:r>
          </w:p>
        </w:tc>
      </w:tr>
    </w:tbl>
    <w:p>
      <w:pPr>
        <w:pStyle w:val="Normal"/>
        <w:rPr>
          <w:rFonts w:ascii="Arial" w:hAnsi="Arial"/>
        </w:rPr>
      </w:pPr>
      <w:r>
        <w:rPr/>
      </w:r>
    </w:p>
    <w:sectPr>
      <w:type w:val="nextPage"/>
      <w:pgSz w:orient="landscape" w:w="16838" w:h="11906"/>
      <w:pgMar w:left="850" w:right="850" w:header="0" w:top="850" w:footer="0" w:bottom="85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5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val="textFit" w:percent="143"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de-DE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de-DE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de-DE" w:eastAsia="zh-CN" w:bidi="hi-IN"/>
    </w:rPr>
  </w:style>
  <w:style w:type="character" w:styleId="DefaultParagraphFont" w:default="1">
    <w:name w:val="Default Paragraph Font"/>
    <w:uiPriority w:val="1"/>
    <w:unhideWhenUsed/>
    <w:qFormat/>
    <w:rPr/>
  </w:style>
  <w:style w:type="paragraph" w:styleId="Berschrift" w:customStyle="1">
    <w:name w:val="Überschrift"/>
    <w:basedOn w:val="Normal"/>
    <w:next w:val="Textkrper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Textkrper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Textkrper"/>
    <w:pPr/>
    <w:rPr/>
  </w:style>
  <w:style w:type="paragraph" w:styleId="Beschriftung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Verzeichnis" w:customStyle="1">
    <w:name w:val="Verzeichnis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Tabelleninhalt" w:customStyle="1">
    <w:name w:val="Tabelleninhalt"/>
    <w:basedOn w:val="Normal"/>
    <w:qFormat/>
    <w:pPr>
      <w:suppressLineNumbers/>
    </w:pPr>
    <w:rPr/>
  </w:style>
  <w:style w:type="paragraph" w:styleId="Tabellenberschrift">
    <w:name w:val="Tabellenüberschrift"/>
    <w:basedOn w:val="Tabelleninhalt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Application>LibreOffice/6.4.3.2$Windows_X86_64 LibreOffice_project/747b5d0ebf89f41c860ec2a39efd7cb15b54f2d8</Application>
  <Pages>5</Pages>
  <Words>871</Words>
  <Characters>5952</Characters>
  <CharactersWithSpaces>6717</CharactersWithSpaces>
  <Paragraphs>151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2023-09-11T11:14:00Z</dcterms:created>
  <dc:creator>Judith Korte</dc:creator>
  <dc:description/>
  <dc:language>de-DE</dc:language>
  <cp:lastModifiedBy/>
  <dcterms:modified xsi:type="dcterms:W3CDTF">2023-10-23T13:04:12Z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